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F3C847" w14:textId="77777777" w:rsidR="00344A83" w:rsidRDefault="00344A83" w:rsidP="00344A83">
      <w:pPr>
        <w:pStyle w:val="Title"/>
        <w:spacing w:line="480" w:lineRule="auto"/>
      </w:pPr>
      <w:r>
        <w:rPr>
          <w:b/>
        </w:rPr>
        <w:t>CHAPTER 1</w:t>
      </w:r>
    </w:p>
    <w:p w14:paraId="1D571C91" w14:textId="77777777" w:rsidR="00344A83" w:rsidRDefault="00344A83" w:rsidP="00344A83">
      <w:pPr>
        <w:spacing w:line="480" w:lineRule="auto"/>
        <w:jc w:val="center"/>
        <w:rPr>
          <w:szCs w:val="24"/>
        </w:rPr>
      </w:pPr>
    </w:p>
    <w:p w14:paraId="31EFB92C" w14:textId="289BAD8E" w:rsidR="00344A83" w:rsidRDefault="00344A83" w:rsidP="00344A83">
      <w:pPr>
        <w:spacing w:line="480" w:lineRule="auto"/>
        <w:jc w:val="center"/>
        <w:rPr>
          <w:szCs w:val="24"/>
        </w:rPr>
      </w:pPr>
      <w:bookmarkStart w:id="0" w:name="__RefHeading___Toc235935198"/>
      <w:bookmarkEnd w:id="0"/>
      <w:r>
        <w:rPr>
          <w:szCs w:val="24"/>
        </w:rPr>
        <w:t>INTRODUCTION</w:t>
      </w:r>
      <w:r w:rsidR="00B31C10">
        <w:rPr>
          <w:szCs w:val="24"/>
        </w:rPr>
        <w:t xml:space="preserve"> &amp; LITERATURE REVIEW</w:t>
      </w:r>
    </w:p>
    <w:p w14:paraId="5875E134" w14:textId="77777777" w:rsidR="00344A83" w:rsidRPr="00344A83" w:rsidRDefault="00344A83" w:rsidP="00344A83">
      <w:pPr>
        <w:pStyle w:val="Default"/>
        <w:spacing w:line="480" w:lineRule="auto"/>
      </w:pPr>
    </w:p>
    <w:p w14:paraId="2422EF6B" w14:textId="77777777" w:rsidR="00D23F96" w:rsidRDefault="00344A83" w:rsidP="00D23F96">
      <w:pPr>
        <w:spacing w:before="240" w:line="480" w:lineRule="auto"/>
        <w:ind w:firstLine="720"/>
        <w:rPr>
          <w:szCs w:val="24"/>
        </w:rPr>
      </w:pPr>
      <w:r w:rsidRPr="00344A83">
        <w:rPr>
          <w:szCs w:val="24"/>
        </w:rPr>
        <w:t xml:space="preserve"> </w:t>
      </w:r>
      <w:r w:rsidRPr="00344A83">
        <w:rPr>
          <w:i/>
          <w:iCs/>
          <w:szCs w:val="24"/>
        </w:rPr>
        <w:t xml:space="preserve">Francisella tularensis </w:t>
      </w:r>
      <w:r w:rsidRPr="00344A83">
        <w:rPr>
          <w:szCs w:val="24"/>
        </w:rPr>
        <w:t xml:space="preserve">is a Gram-negative, facultative intracellular bacterial pathogen and is the causative agent of the potentially fatal human disease tularemia (Sjöstedt, 2007). Due to its highly infectious nature and its ability to be easily aerosolized, </w:t>
      </w:r>
      <w:r w:rsidRPr="00344A83">
        <w:rPr>
          <w:i/>
          <w:iCs/>
          <w:szCs w:val="24"/>
        </w:rPr>
        <w:t xml:space="preserve">F. tularensis </w:t>
      </w:r>
      <w:r w:rsidRPr="00344A83">
        <w:rPr>
          <w:szCs w:val="24"/>
        </w:rPr>
        <w:t xml:space="preserve">is considered a potential bioweapon (Dennis </w:t>
      </w:r>
      <w:r w:rsidRPr="00344A83">
        <w:rPr>
          <w:i/>
          <w:iCs/>
          <w:szCs w:val="24"/>
        </w:rPr>
        <w:t>et al.</w:t>
      </w:r>
      <w:r w:rsidRPr="00344A83">
        <w:rPr>
          <w:szCs w:val="24"/>
        </w:rPr>
        <w:t xml:space="preserve">, 2001; Oyston </w:t>
      </w:r>
      <w:r w:rsidRPr="00344A83">
        <w:rPr>
          <w:i/>
          <w:iCs/>
          <w:szCs w:val="24"/>
        </w:rPr>
        <w:t>et al.</w:t>
      </w:r>
      <w:r w:rsidRPr="00344A83">
        <w:rPr>
          <w:szCs w:val="24"/>
        </w:rPr>
        <w:t>, 2004; Sjöstedt, 2007).</w:t>
      </w:r>
      <w:r w:rsidR="005A455E">
        <w:rPr>
          <w:szCs w:val="24"/>
        </w:rPr>
        <w:t xml:space="preserve"> </w:t>
      </w:r>
      <w:r w:rsidR="005348A0">
        <w:rPr>
          <w:i/>
          <w:iCs/>
          <w:szCs w:val="24"/>
        </w:rPr>
        <w:t xml:space="preserve">F. tularensis </w:t>
      </w:r>
      <w:r w:rsidR="005348A0">
        <w:rPr>
          <w:szCs w:val="24"/>
        </w:rPr>
        <w:t xml:space="preserve">also has a wide variety of transmission vectors including small mammals, insects, and can even be water borne. </w:t>
      </w:r>
      <w:r w:rsidR="005A455E">
        <w:rPr>
          <w:szCs w:val="24"/>
        </w:rPr>
        <w:t xml:space="preserve">There are a number of subspecies of </w:t>
      </w:r>
      <w:r w:rsidR="005A455E">
        <w:rPr>
          <w:i/>
          <w:iCs/>
          <w:szCs w:val="24"/>
        </w:rPr>
        <w:t xml:space="preserve">F. tularensis </w:t>
      </w:r>
      <w:r w:rsidR="005A455E">
        <w:rPr>
          <w:szCs w:val="24"/>
        </w:rPr>
        <w:t>that differ in their ability to cause disease, but all are mainly found in the northern hemisphere (</w:t>
      </w:r>
      <w:r w:rsidR="005A455E" w:rsidRPr="00344A83">
        <w:rPr>
          <w:szCs w:val="24"/>
        </w:rPr>
        <w:t>Sjöstedt, 2007).</w:t>
      </w:r>
      <w:r w:rsidR="005A455E">
        <w:rPr>
          <w:szCs w:val="24"/>
        </w:rPr>
        <w:t xml:space="preserve"> </w:t>
      </w:r>
      <w:r w:rsidR="005A455E">
        <w:rPr>
          <w:i/>
          <w:iCs/>
          <w:szCs w:val="24"/>
        </w:rPr>
        <w:t>F. tularensis</w:t>
      </w:r>
      <w:r w:rsidR="005A455E">
        <w:rPr>
          <w:szCs w:val="24"/>
        </w:rPr>
        <w:t xml:space="preserve"> subspecies </w:t>
      </w:r>
      <w:r w:rsidR="005A455E">
        <w:rPr>
          <w:i/>
          <w:iCs/>
          <w:szCs w:val="24"/>
        </w:rPr>
        <w:t xml:space="preserve">tularensis </w:t>
      </w:r>
      <w:r w:rsidR="005A455E">
        <w:rPr>
          <w:szCs w:val="24"/>
        </w:rPr>
        <w:t xml:space="preserve">is highly infectious as a human pathogen with as few as 10 organisms able to cause disease. </w:t>
      </w:r>
      <w:r w:rsidR="00C34BA2">
        <w:rPr>
          <w:i/>
          <w:iCs/>
          <w:szCs w:val="24"/>
        </w:rPr>
        <w:t>F. tularensis</w:t>
      </w:r>
      <w:r w:rsidR="00C34BA2">
        <w:rPr>
          <w:szCs w:val="24"/>
        </w:rPr>
        <w:t xml:space="preserve"> subspecies </w:t>
      </w:r>
      <w:r w:rsidR="00C34BA2">
        <w:rPr>
          <w:i/>
          <w:iCs/>
          <w:szCs w:val="24"/>
        </w:rPr>
        <w:t>holarctica</w:t>
      </w:r>
      <w:r w:rsidR="00C34BA2">
        <w:rPr>
          <w:szCs w:val="24"/>
        </w:rPr>
        <w:t xml:space="preserve"> </w:t>
      </w:r>
      <w:r w:rsidR="005A455E">
        <w:rPr>
          <w:szCs w:val="24"/>
        </w:rPr>
        <w:t xml:space="preserve">is another subspecies capable of causing disease in humans, but has been observed to be less virulent than subspecies </w:t>
      </w:r>
      <w:r w:rsidR="005A455E">
        <w:rPr>
          <w:i/>
          <w:iCs/>
          <w:szCs w:val="24"/>
        </w:rPr>
        <w:t>tularensis</w:t>
      </w:r>
      <w:r w:rsidR="005A455E">
        <w:rPr>
          <w:szCs w:val="24"/>
        </w:rPr>
        <w:t xml:space="preserve"> and causes a milder form of the disease.</w:t>
      </w:r>
      <w:r w:rsidR="005348A0">
        <w:rPr>
          <w:szCs w:val="24"/>
        </w:rPr>
        <w:t xml:space="preserve"> An attenuated form of </w:t>
      </w:r>
      <w:r w:rsidR="005348A0">
        <w:rPr>
          <w:i/>
          <w:iCs/>
          <w:szCs w:val="24"/>
        </w:rPr>
        <w:t>F. tularensis</w:t>
      </w:r>
      <w:r w:rsidR="005348A0">
        <w:rPr>
          <w:szCs w:val="24"/>
        </w:rPr>
        <w:t xml:space="preserve"> subspecies </w:t>
      </w:r>
      <w:r w:rsidR="005348A0">
        <w:rPr>
          <w:i/>
          <w:iCs/>
          <w:szCs w:val="24"/>
        </w:rPr>
        <w:t xml:space="preserve">holarctica </w:t>
      </w:r>
      <w:r w:rsidR="005348A0">
        <w:rPr>
          <w:szCs w:val="24"/>
        </w:rPr>
        <w:t>was used to create a live vaccine strain in Russia in 1942, which is often used as a laboratory strain, since it does not cause disease in humans</w:t>
      </w:r>
      <w:r w:rsidR="00586036">
        <w:rPr>
          <w:szCs w:val="24"/>
        </w:rPr>
        <w:t xml:space="preserve"> </w:t>
      </w:r>
      <w:r w:rsidR="00586036" w:rsidRPr="00344A83">
        <w:rPr>
          <w:szCs w:val="24"/>
        </w:rPr>
        <w:t>(Sjöstedt, 2007).</w:t>
      </w:r>
      <w:r w:rsidR="00C34BA2" w:rsidRPr="00C34BA2">
        <w:rPr>
          <w:i/>
          <w:iCs/>
          <w:szCs w:val="24"/>
        </w:rPr>
        <w:t xml:space="preserve"> </w:t>
      </w:r>
      <w:r w:rsidR="00C34BA2">
        <w:rPr>
          <w:i/>
          <w:iCs/>
          <w:szCs w:val="24"/>
        </w:rPr>
        <w:t>F. tularensis</w:t>
      </w:r>
      <w:r w:rsidR="00C34BA2">
        <w:rPr>
          <w:szCs w:val="24"/>
        </w:rPr>
        <w:t xml:space="preserve"> subspecies </w:t>
      </w:r>
      <w:r w:rsidR="00C34BA2">
        <w:rPr>
          <w:i/>
          <w:iCs/>
          <w:szCs w:val="24"/>
        </w:rPr>
        <w:t xml:space="preserve">novicida </w:t>
      </w:r>
      <w:r w:rsidR="00C34BA2">
        <w:rPr>
          <w:szCs w:val="24"/>
        </w:rPr>
        <w:t>is another</w:t>
      </w:r>
      <w:r w:rsidR="005348A0">
        <w:rPr>
          <w:szCs w:val="24"/>
        </w:rPr>
        <w:t xml:space="preserve"> </w:t>
      </w:r>
      <w:r w:rsidR="00C34BA2">
        <w:rPr>
          <w:szCs w:val="24"/>
        </w:rPr>
        <w:t>subspecies that is well studied, but is more of an environmental strain that usually does not cause disease in humans</w:t>
      </w:r>
      <w:r w:rsidR="00586036">
        <w:rPr>
          <w:szCs w:val="24"/>
        </w:rPr>
        <w:t xml:space="preserve"> </w:t>
      </w:r>
      <w:r w:rsidR="00586036" w:rsidRPr="00344A83">
        <w:rPr>
          <w:szCs w:val="24"/>
        </w:rPr>
        <w:t>(Sjöstedt, 2007).</w:t>
      </w:r>
      <w:r w:rsidR="00C34BA2">
        <w:rPr>
          <w:szCs w:val="24"/>
        </w:rPr>
        <w:t xml:space="preserve"> </w:t>
      </w:r>
      <w:r w:rsidR="00FF379F">
        <w:rPr>
          <w:i/>
          <w:iCs/>
          <w:szCs w:val="24"/>
        </w:rPr>
        <w:t xml:space="preserve">F. novicida </w:t>
      </w:r>
      <w:r w:rsidR="00FF379F">
        <w:rPr>
          <w:szCs w:val="24"/>
        </w:rPr>
        <w:t>has also not been found to be zoonotic and has mainly been discovered in salt and brackish water</w:t>
      </w:r>
      <w:r w:rsidR="00586036">
        <w:rPr>
          <w:szCs w:val="24"/>
        </w:rPr>
        <w:t xml:space="preserve"> (</w:t>
      </w:r>
      <w:r w:rsidR="00586036">
        <w:rPr>
          <w:szCs w:val="24"/>
        </w:rPr>
        <w:t xml:space="preserve">Kingry </w:t>
      </w:r>
      <w:r w:rsidR="00586036">
        <w:rPr>
          <w:szCs w:val="24"/>
        </w:rPr>
        <w:t>&amp;</w:t>
      </w:r>
      <w:r w:rsidR="00586036">
        <w:rPr>
          <w:szCs w:val="24"/>
        </w:rPr>
        <w:t xml:space="preserve"> Petersen</w:t>
      </w:r>
      <w:r w:rsidR="00586036">
        <w:rPr>
          <w:szCs w:val="24"/>
        </w:rPr>
        <w:t>, 2014).</w:t>
      </w:r>
      <w:r w:rsidR="00586036">
        <w:rPr>
          <w:szCs w:val="24"/>
        </w:rPr>
        <w:t xml:space="preserve"> </w:t>
      </w:r>
      <w:r w:rsidR="00FF379F">
        <w:rPr>
          <w:szCs w:val="24"/>
        </w:rPr>
        <w:t xml:space="preserve">Despite the differences in ecology and infectivity, </w:t>
      </w:r>
      <w:r w:rsidR="00FF379F">
        <w:rPr>
          <w:i/>
          <w:iCs/>
          <w:szCs w:val="24"/>
        </w:rPr>
        <w:t>F. novicida</w:t>
      </w:r>
      <w:r w:rsidR="00FF379F">
        <w:rPr>
          <w:szCs w:val="24"/>
        </w:rPr>
        <w:t xml:space="preserve"> shares a high sequence identity with the more virulent </w:t>
      </w:r>
      <w:r w:rsidR="00FF379F">
        <w:rPr>
          <w:i/>
          <w:iCs/>
          <w:szCs w:val="24"/>
        </w:rPr>
        <w:t xml:space="preserve">F. tularensis </w:t>
      </w:r>
      <w:r w:rsidR="00FF379F">
        <w:rPr>
          <w:szCs w:val="24"/>
        </w:rPr>
        <w:t xml:space="preserve">strains making </w:t>
      </w:r>
      <w:r w:rsidR="00FF379F">
        <w:rPr>
          <w:i/>
          <w:iCs/>
          <w:szCs w:val="24"/>
        </w:rPr>
        <w:t xml:space="preserve">F. novicida </w:t>
      </w:r>
      <w:r w:rsidR="00FF379F">
        <w:rPr>
          <w:szCs w:val="24"/>
        </w:rPr>
        <w:t>a key model organism</w:t>
      </w:r>
      <w:r w:rsidR="00586036">
        <w:rPr>
          <w:szCs w:val="24"/>
        </w:rPr>
        <w:t xml:space="preserve"> </w:t>
      </w:r>
      <w:r w:rsidR="00586036">
        <w:rPr>
          <w:szCs w:val="24"/>
        </w:rPr>
        <w:t>(Kingry &amp; Petersen, 2014).</w:t>
      </w:r>
    </w:p>
    <w:p w14:paraId="3B18859A" w14:textId="0AFDFBAA" w:rsidR="008B3DB4" w:rsidRPr="00D23F96" w:rsidRDefault="00E0459E" w:rsidP="00D23F96">
      <w:pPr>
        <w:spacing w:before="240" w:line="480" w:lineRule="auto"/>
        <w:ind w:firstLine="720"/>
        <w:rPr>
          <w:szCs w:val="24"/>
        </w:rPr>
      </w:pPr>
      <w:r>
        <w:rPr>
          <w:i/>
          <w:iCs/>
          <w:szCs w:val="24"/>
        </w:rPr>
        <w:lastRenderedPageBreak/>
        <w:t>F. tularensis</w:t>
      </w:r>
      <w:r>
        <w:rPr>
          <w:szCs w:val="24"/>
        </w:rPr>
        <w:t xml:space="preserve"> is a vector-borne zoonotic pathogen and causes the disease tularemia when an infection is established within the host. Tularemia can progress in different ways depending on the mode of transmission. </w:t>
      </w:r>
      <w:r w:rsidR="00B60599">
        <w:rPr>
          <w:szCs w:val="24"/>
        </w:rPr>
        <w:t xml:space="preserve">The ulceroglandular form of the disease is caused by </w:t>
      </w:r>
      <w:r w:rsidR="00E830CB">
        <w:rPr>
          <w:szCs w:val="24"/>
        </w:rPr>
        <w:t>infection by arthropod bites, contact with or ingestion of infected animals, and ingestion of contaminated water sources</w:t>
      </w:r>
      <w:r w:rsidR="00D23F96">
        <w:rPr>
          <w:szCs w:val="24"/>
        </w:rPr>
        <w:t xml:space="preserve"> </w:t>
      </w:r>
      <w:r w:rsidR="00D23F96" w:rsidRPr="00344A83">
        <w:rPr>
          <w:szCs w:val="24"/>
        </w:rPr>
        <w:t>(Sjöstedt, 2007</w:t>
      </w:r>
      <w:r w:rsidR="00A741EC" w:rsidRPr="00344A83">
        <w:rPr>
          <w:szCs w:val="24"/>
        </w:rPr>
        <w:t>)</w:t>
      </w:r>
      <w:r w:rsidR="00A741EC">
        <w:rPr>
          <w:szCs w:val="24"/>
        </w:rPr>
        <w:t>. The</w:t>
      </w:r>
      <w:r w:rsidR="00E830CB">
        <w:rPr>
          <w:szCs w:val="24"/>
        </w:rPr>
        <w:t xml:space="preserve"> </w:t>
      </w:r>
      <w:r w:rsidR="00E830CB">
        <w:rPr>
          <w:color w:val="000000"/>
          <w:shd w:val="clear" w:color="auto" w:fill="FFFFFF"/>
        </w:rPr>
        <w:t xml:space="preserve">pneumonic form of the disease is caused by inhalation of aerosolized organisms. Initial symptoms of either form of the disease include fever, headache, chills and fatigue. </w:t>
      </w:r>
      <w:r w:rsidR="00FE69E3">
        <w:rPr>
          <w:color w:val="000000"/>
          <w:shd w:val="clear" w:color="auto" w:fill="FFFFFF"/>
        </w:rPr>
        <w:t>In the ulceroglandular form of the disease an ulcer may develop at the site of infection followed by enlargement of the lymph nodes</w:t>
      </w:r>
      <w:r w:rsidR="00D23F96">
        <w:rPr>
          <w:color w:val="000000"/>
          <w:shd w:val="clear" w:color="auto" w:fill="FFFFFF"/>
        </w:rPr>
        <w:t xml:space="preserve"> </w:t>
      </w:r>
      <w:r w:rsidR="00D23F96" w:rsidRPr="00344A83">
        <w:rPr>
          <w:szCs w:val="24"/>
        </w:rPr>
        <w:t>(Sjöstedt, 2007)</w:t>
      </w:r>
      <w:r w:rsidR="00D23F96">
        <w:rPr>
          <w:szCs w:val="24"/>
        </w:rPr>
        <w:t>.</w:t>
      </w:r>
      <w:r w:rsidR="00FE69E3">
        <w:rPr>
          <w:color w:val="000000"/>
          <w:shd w:val="clear" w:color="auto" w:fill="FFFFFF"/>
        </w:rPr>
        <w:t xml:space="preserve"> In the pneumonic or respiratory form of the disease a respiratory infection can occur, which has the ability to be fatal. The disease is typically treated using an antibiotic regimen that could include streptomycin, </w:t>
      </w:r>
      <w:r w:rsidR="006D5E2B">
        <w:rPr>
          <w:color w:val="000000"/>
          <w:shd w:val="clear" w:color="auto" w:fill="FFFFFF"/>
        </w:rPr>
        <w:t>gentamicin, doxycycline, or ciproflaxine</w:t>
      </w:r>
      <w:r w:rsidR="00D23F96">
        <w:rPr>
          <w:color w:val="000000"/>
          <w:shd w:val="clear" w:color="auto" w:fill="FFFFFF"/>
        </w:rPr>
        <w:t xml:space="preserve"> (Dennis </w:t>
      </w:r>
      <w:r w:rsidR="00D23F96" w:rsidRPr="00D23F96">
        <w:rPr>
          <w:i/>
          <w:iCs/>
          <w:color w:val="000000"/>
          <w:shd w:val="clear" w:color="auto" w:fill="FFFFFF"/>
        </w:rPr>
        <w:t>et al</w:t>
      </w:r>
      <w:r w:rsidR="00D23F96">
        <w:rPr>
          <w:color w:val="000000"/>
          <w:shd w:val="clear" w:color="auto" w:fill="FFFFFF"/>
        </w:rPr>
        <w:t>., 2001).</w:t>
      </w:r>
      <w:r w:rsidR="006D5E2B">
        <w:rPr>
          <w:color w:val="000000"/>
          <w:shd w:val="clear" w:color="auto" w:fill="FFFFFF"/>
        </w:rPr>
        <w:t xml:space="preserve"> </w:t>
      </w:r>
      <w:r w:rsidR="00C50437">
        <w:rPr>
          <w:color w:val="000000"/>
          <w:shd w:val="clear" w:color="auto" w:fill="FFFFFF"/>
        </w:rPr>
        <w:t>Outbreaks of the disease have decreased with the use of antibiotic treatments with the United States only seeing a few</w:t>
      </w:r>
      <w:r w:rsidR="007B43EB">
        <w:rPr>
          <w:color w:val="000000"/>
          <w:shd w:val="clear" w:color="auto" w:fill="FFFFFF"/>
        </w:rPr>
        <w:t xml:space="preserve"> </w:t>
      </w:r>
      <w:r w:rsidR="00C50437">
        <w:rPr>
          <w:color w:val="000000"/>
          <w:shd w:val="clear" w:color="auto" w:fill="FFFFFF"/>
        </w:rPr>
        <w:t>hundred cases per year with less than 2% fatality</w:t>
      </w:r>
      <w:r w:rsidR="00D23F96">
        <w:rPr>
          <w:color w:val="000000"/>
          <w:shd w:val="clear" w:color="auto" w:fill="FFFFFF"/>
        </w:rPr>
        <w:t xml:space="preserve"> </w:t>
      </w:r>
      <w:r w:rsidR="00D23F96" w:rsidRPr="00344A83">
        <w:rPr>
          <w:szCs w:val="24"/>
        </w:rPr>
        <w:t>(Sjöstedt, 2007)</w:t>
      </w:r>
      <w:r w:rsidR="00D23F96">
        <w:rPr>
          <w:szCs w:val="24"/>
        </w:rPr>
        <w:t>.</w:t>
      </w:r>
    </w:p>
    <w:p w14:paraId="0902693F" w14:textId="77777777" w:rsidR="008B3DB4" w:rsidRDefault="008B3DB4" w:rsidP="008B3DB4">
      <w:pPr>
        <w:spacing w:before="240" w:line="480" w:lineRule="auto"/>
        <w:rPr>
          <w:color w:val="000000"/>
          <w:shd w:val="clear" w:color="auto" w:fill="FFFFFF"/>
        </w:rPr>
      </w:pPr>
    </w:p>
    <w:p w14:paraId="3C8C4252" w14:textId="1F92FC50" w:rsidR="008B3DB4" w:rsidRDefault="008B3DB4" w:rsidP="008B3DB4">
      <w:pPr>
        <w:spacing w:line="360" w:lineRule="auto"/>
        <w:rPr>
          <w:b/>
          <w:bCs/>
        </w:rPr>
      </w:pPr>
      <w:r w:rsidRPr="008B3DB4">
        <w:rPr>
          <w:b/>
          <w:bCs/>
          <w:i/>
          <w:iCs/>
        </w:rPr>
        <w:t xml:space="preserve">F. tularensis </w:t>
      </w:r>
      <w:r w:rsidRPr="008B3DB4">
        <w:rPr>
          <w:b/>
          <w:bCs/>
        </w:rPr>
        <w:t>replication in host cells</w:t>
      </w:r>
    </w:p>
    <w:p w14:paraId="64E63A10" w14:textId="6F4E7012" w:rsidR="008B3DB4" w:rsidRDefault="008B3DB4" w:rsidP="008B3DB4">
      <w:pPr>
        <w:spacing w:line="360" w:lineRule="auto"/>
        <w:rPr>
          <w:b/>
          <w:bCs/>
        </w:rPr>
      </w:pPr>
    </w:p>
    <w:p w14:paraId="5912C873" w14:textId="0F4BF4C8" w:rsidR="007E6921" w:rsidRDefault="00540E1F" w:rsidP="002259A9">
      <w:pPr>
        <w:spacing w:line="480" w:lineRule="auto"/>
        <w:rPr>
          <w:szCs w:val="24"/>
        </w:rPr>
      </w:pPr>
      <w:r>
        <w:rPr>
          <w:b/>
          <w:bCs/>
        </w:rPr>
        <w:tab/>
      </w:r>
      <w:r>
        <w:rPr>
          <w:i/>
          <w:iCs/>
        </w:rPr>
        <w:t>F. tula</w:t>
      </w:r>
      <w:r w:rsidR="002259A9">
        <w:rPr>
          <w:i/>
          <w:iCs/>
        </w:rPr>
        <w:t>r</w:t>
      </w:r>
      <w:r>
        <w:rPr>
          <w:i/>
          <w:iCs/>
        </w:rPr>
        <w:t xml:space="preserve">ensis </w:t>
      </w:r>
      <w:r>
        <w:t xml:space="preserve">is an intracellular pathogen and therefore replicates inside the host’s infected cells. </w:t>
      </w:r>
      <w:r w:rsidR="003C5E4B">
        <w:t>The pathogen can replicate inside a variety of cell types including phagocytes, epithelial cells, and hepatocytes</w:t>
      </w:r>
      <w:r w:rsidR="00A16B3C">
        <w:t xml:space="preserve"> </w:t>
      </w:r>
      <w:r w:rsidR="00A16B3C">
        <w:rPr>
          <w:szCs w:val="24"/>
        </w:rPr>
        <w:t xml:space="preserve">(Ramond </w:t>
      </w:r>
      <w:r w:rsidR="00A16B3C" w:rsidRPr="00526B9D">
        <w:rPr>
          <w:i/>
          <w:iCs/>
          <w:szCs w:val="24"/>
        </w:rPr>
        <w:t>et al</w:t>
      </w:r>
      <w:r w:rsidR="00A16B3C">
        <w:rPr>
          <w:szCs w:val="24"/>
        </w:rPr>
        <w:t>., 2012).</w:t>
      </w:r>
      <w:r w:rsidR="003C5E4B">
        <w:rPr>
          <w:b/>
          <w:bCs/>
        </w:rPr>
        <w:t xml:space="preserve"> </w:t>
      </w:r>
      <w:r w:rsidR="00344A83" w:rsidRPr="00344A83">
        <w:rPr>
          <w:szCs w:val="24"/>
        </w:rPr>
        <w:t xml:space="preserve">During infection, </w:t>
      </w:r>
      <w:r w:rsidR="00344A83" w:rsidRPr="00344A83">
        <w:rPr>
          <w:i/>
          <w:iCs/>
          <w:szCs w:val="24"/>
        </w:rPr>
        <w:t xml:space="preserve">F. tularensis </w:t>
      </w:r>
      <w:r w:rsidR="00344A83" w:rsidRPr="00344A83">
        <w:rPr>
          <w:szCs w:val="24"/>
        </w:rPr>
        <w:t xml:space="preserve">evades the host immune system in part by replicating inside host cells; macrophage are thought to be a key niche. </w:t>
      </w:r>
      <w:r w:rsidR="003A0826">
        <w:rPr>
          <w:szCs w:val="24"/>
        </w:rPr>
        <w:t xml:space="preserve"> Once a bacterial cell is up taken by a macrophage, it must escape the maturing phagosome to avoid being destroyed by the host cell. While the exact mechanism for phagosomal escape is unknown it is thought involve the utilization of the Type VI Secretion System</w:t>
      </w:r>
      <w:r w:rsidR="001B4990">
        <w:rPr>
          <w:szCs w:val="24"/>
        </w:rPr>
        <w:t xml:space="preserve"> (Jaggavarapu &amp; Weiss, 2018).</w:t>
      </w:r>
      <w:r w:rsidR="003A0826">
        <w:rPr>
          <w:szCs w:val="24"/>
        </w:rPr>
        <w:t xml:space="preserve"> </w:t>
      </w:r>
      <w:r w:rsidR="009E1BD8">
        <w:rPr>
          <w:szCs w:val="24"/>
        </w:rPr>
        <w:t xml:space="preserve">In order to successfully survive and replicate within host </w:t>
      </w:r>
      <w:r w:rsidR="009E1BD8">
        <w:rPr>
          <w:szCs w:val="24"/>
        </w:rPr>
        <w:lastRenderedPageBreak/>
        <w:t xml:space="preserve">cells </w:t>
      </w:r>
      <w:r w:rsidR="009E1BD8">
        <w:rPr>
          <w:i/>
          <w:iCs/>
          <w:szCs w:val="24"/>
        </w:rPr>
        <w:t xml:space="preserve">F. tularensis </w:t>
      </w:r>
      <w:r w:rsidR="009E1BD8">
        <w:rPr>
          <w:szCs w:val="24"/>
        </w:rPr>
        <w:t>must adapt to the host environment</w:t>
      </w:r>
      <w:r w:rsidR="002259A9">
        <w:rPr>
          <w:szCs w:val="24"/>
        </w:rPr>
        <w:t>, suppress the host immune system</w:t>
      </w:r>
      <w:r w:rsidR="00BD6D34">
        <w:rPr>
          <w:szCs w:val="24"/>
        </w:rPr>
        <w:t xml:space="preserve"> through production of virulence factors</w:t>
      </w:r>
      <w:r w:rsidR="002259A9">
        <w:rPr>
          <w:szCs w:val="24"/>
        </w:rPr>
        <w:t>, and produce nutrients that are unavailable within the hos</w:t>
      </w:r>
      <w:r w:rsidR="00A16B3C">
        <w:rPr>
          <w:szCs w:val="24"/>
        </w:rPr>
        <w:t xml:space="preserve">t (Ramond </w:t>
      </w:r>
      <w:r w:rsidR="00A16B3C" w:rsidRPr="00526B9D">
        <w:rPr>
          <w:i/>
          <w:iCs/>
          <w:szCs w:val="24"/>
        </w:rPr>
        <w:t>et al</w:t>
      </w:r>
      <w:r w:rsidR="00A16B3C">
        <w:rPr>
          <w:szCs w:val="24"/>
        </w:rPr>
        <w:t>., 2012).</w:t>
      </w:r>
      <w:r w:rsidR="002259A9">
        <w:rPr>
          <w:szCs w:val="24"/>
        </w:rPr>
        <w:t xml:space="preserve"> When </w:t>
      </w:r>
      <w:r w:rsidR="00BD6D34">
        <w:rPr>
          <w:szCs w:val="24"/>
        </w:rPr>
        <w:t xml:space="preserve">all of these processes are successful </w:t>
      </w:r>
      <w:r w:rsidR="00BD6D34">
        <w:rPr>
          <w:i/>
          <w:iCs/>
          <w:szCs w:val="24"/>
        </w:rPr>
        <w:t xml:space="preserve">F. tularensis </w:t>
      </w:r>
      <w:r w:rsidR="00BD6D34">
        <w:rPr>
          <w:szCs w:val="24"/>
        </w:rPr>
        <w:t>can go through about seven to eight cycles of replication</w:t>
      </w:r>
      <w:r w:rsidR="00526B9D">
        <w:rPr>
          <w:szCs w:val="24"/>
        </w:rPr>
        <w:t xml:space="preserve"> (Ramond </w:t>
      </w:r>
      <w:r w:rsidR="00526B9D" w:rsidRPr="00526B9D">
        <w:rPr>
          <w:i/>
          <w:iCs/>
          <w:szCs w:val="24"/>
        </w:rPr>
        <w:t>et al</w:t>
      </w:r>
      <w:r w:rsidR="00526B9D">
        <w:rPr>
          <w:szCs w:val="24"/>
        </w:rPr>
        <w:t>., 2012).</w:t>
      </w:r>
    </w:p>
    <w:p w14:paraId="7456FD36" w14:textId="483CED30" w:rsidR="00D97F3C" w:rsidRDefault="00D97F3C" w:rsidP="002259A9">
      <w:pPr>
        <w:spacing w:line="480" w:lineRule="auto"/>
        <w:rPr>
          <w:szCs w:val="24"/>
        </w:rPr>
      </w:pPr>
    </w:p>
    <w:p w14:paraId="71F5BC45" w14:textId="72051DF5" w:rsidR="00D97F3C" w:rsidRDefault="00D97F3C" w:rsidP="00D97F3C">
      <w:pPr>
        <w:spacing w:line="360" w:lineRule="auto"/>
        <w:rPr>
          <w:b/>
          <w:bCs/>
          <w:i/>
          <w:iCs/>
        </w:rPr>
      </w:pPr>
      <w:r w:rsidRPr="00D97F3C">
        <w:rPr>
          <w:b/>
          <w:bCs/>
        </w:rPr>
        <w:t xml:space="preserve">Virulence factors in </w:t>
      </w:r>
      <w:r w:rsidRPr="00D97F3C">
        <w:rPr>
          <w:b/>
          <w:bCs/>
          <w:i/>
          <w:iCs/>
        </w:rPr>
        <w:t xml:space="preserve">F. tularensis </w:t>
      </w:r>
    </w:p>
    <w:p w14:paraId="495B26BB" w14:textId="48E9AEF9" w:rsidR="00D97F3C" w:rsidRDefault="00D97F3C" w:rsidP="00D97F3C">
      <w:pPr>
        <w:spacing w:line="360" w:lineRule="auto"/>
        <w:rPr>
          <w:b/>
          <w:bCs/>
          <w:i/>
          <w:iCs/>
        </w:rPr>
      </w:pPr>
    </w:p>
    <w:p w14:paraId="1CD9324F" w14:textId="43D03140" w:rsidR="007B43EB" w:rsidRDefault="00D97F3C" w:rsidP="00145A37">
      <w:pPr>
        <w:spacing w:line="480" w:lineRule="auto"/>
        <w:ind w:firstLine="720"/>
      </w:pPr>
      <w:r>
        <w:t xml:space="preserve">There are a number of critical virulence factors that are necessary for </w:t>
      </w:r>
      <w:r>
        <w:rPr>
          <w:i/>
          <w:iCs/>
        </w:rPr>
        <w:t xml:space="preserve">F. </w:t>
      </w:r>
      <w:r w:rsidRPr="00D97F3C">
        <w:rPr>
          <w:i/>
          <w:iCs/>
        </w:rPr>
        <w:t>tularensis</w:t>
      </w:r>
      <w:r>
        <w:t xml:space="preserve"> to survive and replicate within host cells. </w:t>
      </w:r>
      <w:r w:rsidR="00145A37">
        <w:t xml:space="preserve">Some of these virulence factors involve changes to the cell surface of the bacteria such as production of capsule and lipopolysaccharides (LPS). Capsule is produced to cover the surface of the pathogen and can serve to “hide” the pathogen from the host immune system, as well as protect the cell from phagocytosis and complement-mediated lysis. Production of capsule is necessary for virulence for both </w:t>
      </w:r>
      <w:r w:rsidR="00145A37">
        <w:rPr>
          <w:i/>
          <w:iCs/>
        </w:rPr>
        <w:t xml:space="preserve">F. tularensis </w:t>
      </w:r>
      <w:r w:rsidR="00145A37">
        <w:t xml:space="preserve">and LVS both of which were attenuated </w:t>
      </w:r>
      <w:r w:rsidR="00834D90">
        <w:t>without it</w:t>
      </w:r>
      <w:r w:rsidR="003B4361">
        <w:t xml:space="preserve"> (Rowe &amp; Huntley, 2015).</w:t>
      </w:r>
      <w:r w:rsidR="00834D90">
        <w:t xml:space="preserve"> Lipopolysaccharides (LPS) makes up the outmost layer of the outer membrane. LPS is highly immunostimulatory and modifications often must be made to avoid immune detection. LPS in </w:t>
      </w:r>
      <w:r w:rsidR="00834D90">
        <w:rPr>
          <w:i/>
          <w:iCs/>
        </w:rPr>
        <w:t xml:space="preserve">F. tularensis </w:t>
      </w:r>
      <w:r w:rsidR="00834D90">
        <w:t xml:space="preserve">has its own set of </w:t>
      </w:r>
      <w:r w:rsidR="00835320">
        <w:t xml:space="preserve">structural </w:t>
      </w:r>
      <w:r w:rsidR="00834D90">
        <w:t xml:space="preserve">modifications to avoid </w:t>
      </w:r>
      <w:r w:rsidR="00835320">
        <w:t>recognition by classical LPS recognition molecules</w:t>
      </w:r>
      <w:r w:rsidR="003B4361">
        <w:t xml:space="preserve"> (Rowe &amp; Huntley, 2015).</w:t>
      </w:r>
    </w:p>
    <w:p w14:paraId="58F6AFB7" w14:textId="048333B8" w:rsidR="00DF7223" w:rsidRDefault="00117D14" w:rsidP="00145A37">
      <w:pPr>
        <w:spacing w:line="480" w:lineRule="auto"/>
        <w:ind w:firstLine="720"/>
      </w:pPr>
      <w:r>
        <w:t xml:space="preserve">Once </w:t>
      </w:r>
      <w:r>
        <w:rPr>
          <w:i/>
          <w:iCs/>
        </w:rPr>
        <w:t xml:space="preserve">F. tularensis </w:t>
      </w:r>
      <w:r>
        <w:t xml:space="preserve">has successfully exited the phagosome inside a host cell it must be able to produce any limiting essential nutrients. There are biosynthesis pathways that have been evolved to solve this problem that are essential for virulence. </w:t>
      </w:r>
      <w:r w:rsidR="00AC56C3">
        <w:t xml:space="preserve">Purines are a limiting metabolite in macrophage and </w:t>
      </w:r>
      <w:r w:rsidR="00AC56C3">
        <w:rPr>
          <w:i/>
          <w:iCs/>
        </w:rPr>
        <w:t xml:space="preserve">F. tularensis </w:t>
      </w:r>
      <w:r w:rsidR="00AC56C3">
        <w:t>has an essential purine biosynthesis pathway</w:t>
      </w:r>
      <w:r>
        <w:t xml:space="preserve"> </w:t>
      </w:r>
      <w:r w:rsidR="00AC56C3">
        <w:t>to produce sufficient amounts during infection</w:t>
      </w:r>
      <w:r w:rsidR="003B4361">
        <w:t xml:space="preserve"> (Pechous </w:t>
      </w:r>
      <w:r w:rsidR="003B4361">
        <w:rPr>
          <w:i/>
          <w:iCs/>
        </w:rPr>
        <w:t>et al</w:t>
      </w:r>
      <w:r w:rsidR="003B4361">
        <w:t>.,</w:t>
      </w:r>
      <w:r w:rsidR="003B4361">
        <w:rPr>
          <w:i/>
          <w:iCs/>
        </w:rPr>
        <w:t xml:space="preserve"> </w:t>
      </w:r>
      <w:r w:rsidR="003B4361">
        <w:t xml:space="preserve">2008). </w:t>
      </w:r>
      <w:r w:rsidR="00527B14" w:rsidRPr="003B4361">
        <w:t>Cysteine</w:t>
      </w:r>
      <w:r w:rsidR="00527B14">
        <w:t xml:space="preserve"> is another limiting nutrient in macrophage during infection. </w:t>
      </w:r>
      <w:r w:rsidR="00527B14">
        <w:rPr>
          <w:i/>
          <w:iCs/>
        </w:rPr>
        <w:t xml:space="preserve">F. tularensis </w:t>
      </w:r>
      <w:r w:rsidR="00527B14">
        <w:t xml:space="preserve">has evolved to develop a pathway to break down </w:t>
      </w:r>
      <w:r w:rsidR="00527B14">
        <w:lastRenderedPageBreak/>
        <w:t>host-derived glutathione to access free cysteine. Mutants that are created to disrupt this pathway are attenuated for virulence</w:t>
      </w:r>
      <w:r w:rsidR="00847CAB">
        <w:t xml:space="preserve">, making the genes in this pathway essential virulence factors. </w:t>
      </w:r>
      <w:r w:rsidR="0084377C">
        <w:t xml:space="preserve">Some critical virulence factors require attention from protein maturation factors to be fully functional. One example of these protein maturation factors in </w:t>
      </w:r>
      <w:r w:rsidR="0084377C">
        <w:rPr>
          <w:i/>
          <w:iCs/>
        </w:rPr>
        <w:t xml:space="preserve">F. </w:t>
      </w:r>
      <w:r w:rsidR="0084377C" w:rsidRPr="0084377C">
        <w:rPr>
          <w:i/>
          <w:iCs/>
        </w:rPr>
        <w:t>tularensis</w:t>
      </w:r>
      <w:r w:rsidR="0084377C">
        <w:t xml:space="preserve"> is FipB, which is very similar to DsbA in other pathogens</w:t>
      </w:r>
      <w:r w:rsidR="00B97F3D">
        <w:t xml:space="preserve"> (Qin </w:t>
      </w:r>
      <w:r w:rsidR="00B97F3D" w:rsidRPr="00B97F3D">
        <w:rPr>
          <w:i/>
          <w:iCs/>
        </w:rPr>
        <w:t>et al</w:t>
      </w:r>
      <w:r w:rsidR="00B97F3D">
        <w:t>., 2016).</w:t>
      </w:r>
      <w:r w:rsidR="0084377C">
        <w:t xml:space="preserve"> FipB catalyzes disulfide bond formation and can refold misfolded proteins, with many of the known substrates being critical virulence factors</w:t>
      </w:r>
      <w:r w:rsidR="00B97F3D">
        <w:t xml:space="preserve"> (Qin </w:t>
      </w:r>
      <w:r w:rsidR="00B97F3D" w:rsidRPr="00B97F3D">
        <w:rPr>
          <w:i/>
          <w:iCs/>
        </w:rPr>
        <w:t>et al</w:t>
      </w:r>
      <w:r w:rsidR="00B97F3D">
        <w:t>., 2016).</w:t>
      </w:r>
    </w:p>
    <w:p w14:paraId="1A8230AD" w14:textId="7D4CEAE0" w:rsidR="00674E10" w:rsidRDefault="0090400C" w:rsidP="00145A37">
      <w:pPr>
        <w:spacing w:line="480" w:lineRule="auto"/>
        <w:ind w:firstLine="720"/>
      </w:pPr>
      <w:r>
        <w:rPr>
          <w:i/>
          <w:iCs/>
        </w:rPr>
        <w:t xml:space="preserve">F. tularensis </w:t>
      </w:r>
      <w:r>
        <w:t xml:space="preserve">contains two copies of a genetic island known as the </w:t>
      </w:r>
      <w:r w:rsidRPr="006D55FB">
        <w:rPr>
          <w:i/>
          <w:iCs/>
        </w:rPr>
        <w:t xml:space="preserve">Francisella </w:t>
      </w:r>
      <w:r>
        <w:t>Pathogenicity Island (FPI), where many of its critical virulence factors are encoded.</w:t>
      </w:r>
      <w:r w:rsidR="006D55FB">
        <w:t xml:space="preserve"> One of the major parts of the FPI are the genes that encode the molecular machinery for the Type VI Secretion System (T6SS).</w:t>
      </w:r>
      <w:r>
        <w:t xml:space="preserve"> </w:t>
      </w:r>
      <w:r w:rsidR="00FA6423">
        <w:t xml:space="preserve">The T6SS is important for the translocation of effector proteins into the host cell and </w:t>
      </w:r>
      <w:r w:rsidR="00FA6423">
        <w:rPr>
          <w:i/>
          <w:iCs/>
        </w:rPr>
        <w:t xml:space="preserve">F. tularensis </w:t>
      </w:r>
      <w:r w:rsidR="00FA6423">
        <w:t>cells cannot escape the phagosome when the T6SS is disabled</w:t>
      </w:r>
      <w:r w:rsidR="00B97F3D">
        <w:t xml:space="preserve"> (Rowe &amp; Huntley, 2015). </w:t>
      </w:r>
      <w:r w:rsidR="00140C61">
        <w:t xml:space="preserve">With all of these critical virulence factors to control transcription factors become a key part of regulation during infection. </w:t>
      </w:r>
    </w:p>
    <w:p w14:paraId="075D0956" w14:textId="77777777" w:rsidR="00A4428F" w:rsidRDefault="007A779B" w:rsidP="00A4428F">
      <w:pPr>
        <w:spacing w:line="480" w:lineRule="auto"/>
        <w:ind w:firstLine="720"/>
      </w:pPr>
      <w:r>
        <w:t>One well studied example of virulence factor regulation is the relationship between the transcription factors MglA, SspA, and PigR. MglA and SspA are known to form a complex with RNA polymerase, while PigR localizes at genes it positively regulates to interact with the RNA polymerase complex with MglA and SspA</w:t>
      </w:r>
      <w:r w:rsidR="002D5976">
        <w:t xml:space="preserve"> (Ramsey </w:t>
      </w:r>
      <w:r w:rsidR="002D5976" w:rsidRPr="002D5976">
        <w:rPr>
          <w:i/>
          <w:iCs/>
        </w:rPr>
        <w:t>et al</w:t>
      </w:r>
      <w:r w:rsidR="002D5976">
        <w:t>., 2015).</w:t>
      </w:r>
      <w:r>
        <w:t xml:space="preserve"> This complex of transcription factors has been shown to control expression of about 100 genes, both within and outside the FPI</w:t>
      </w:r>
      <w:r w:rsidR="002D5976">
        <w:t xml:space="preserve"> (Ramsey </w:t>
      </w:r>
      <w:r w:rsidR="002D5976" w:rsidRPr="002D5976">
        <w:rPr>
          <w:i/>
          <w:iCs/>
        </w:rPr>
        <w:t>et al</w:t>
      </w:r>
      <w:r w:rsidR="002D5976">
        <w:t xml:space="preserve">., 2015). </w:t>
      </w:r>
      <w:r w:rsidR="00674E10">
        <w:t>Another more recently discovered transcription factor that is essential for virulence is PmrA.</w:t>
      </w:r>
      <w:r w:rsidR="006929F3">
        <w:t xml:space="preserve"> Cells that are lacking this transcription factor are not able to replicate in macrophage and establish an infection. </w:t>
      </w:r>
      <w:r w:rsidR="00674E10">
        <w:t xml:space="preserve"> </w:t>
      </w:r>
      <w:r>
        <w:t xml:space="preserve">  </w:t>
      </w:r>
      <w:r w:rsidR="0084377C">
        <w:t xml:space="preserve">  </w:t>
      </w:r>
      <w:r w:rsidR="00AC56C3">
        <w:t xml:space="preserve"> </w:t>
      </w:r>
      <w:r w:rsidR="00117D14">
        <w:t xml:space="preserve">  </w:t>
      </w:r>
    </w:p>
    <w:p w14:paraId="726CD0C0" w14:textId="77777777" w:rsidR="00A4428F" w:rsidRDefault="00A4428F" w:rsidP="00A4428F">
      <w:pPr>
        <w:spacing w:line="480" w:lineRule="auto"/>
        <w:ind w:firstLine="720"/>
        <w:rPr>
          <w:b/>
          <w:bCs/>
          <w:szCs w:val="24"/>
        </w:rPr>
      </w:pPr>
    </w:p>
    <w:p w14:paraId="7606A35F" w14:textId="52DFE54E" w:rsidR="007E6921" w:rsidRPr="004D752A" w:rsidRDefault="007E6921" w:rsidP="00A4428F">
      <w:pPr>
        <w:spacing w:line="480" w:lineRule="auto"/>
        <w:ind w:firstLine="720"/>
      </w:pPr>
      <w:r>
        <w:rPr>
          <w:b/>
          <w:bCs/>
          <w:szCs w:val="24"/>
        </w:rPr>
        <w:lastRenderedPageBreak/>
        <w:t xml:space="preserve">PmrA is an essential virulence factor </w:t>
      </w:r>
    </w:p>
    <w:p w14:paraId="16E12ECC" w14:textId="5ADF6CDB" w:rsidR="000E49D5" w:rsidRDefault="00344A83" w:rsidP="00144348">
      <w:pPr>
        <w:spacing w:before="240" w:line="480" w:lineRule="auto"/>
        <w:ind w:firstLine="720"/>
        <w:rPr>
          <w:szCs w:val="24"/>
        </w:rPr>
      </w:pPr>
      <w:r w:rsidRPr="00344A83">
        <w:rPr>
          <w:i/>
          <w:iCs/>
          <w:szCs w:val="24"/>
        </w:rPr>
        <w:t xml:space="preserve">F. tularensis </w:t>
      </w:r>
      <w:r w:rsidRPr="00344A83">
        <w:rPr>
          <w:szCs w:val="24"/>
        </w:rPr>
        <w:t xml:space="preserve">encodes virulence factors essential for intramacrophage growth, such as the transcription factor PmrA (Mohapatra </w:t>
      </w:r>
      <w:r w:rsidRPr="00344A83">
        <w:rPr>
          <w:i/>
          <w:iCs/>
          <w:szCs w:val="24"/>
        </w:rPr>
        <w:t>et al.</w:t>
      </w:r>
      <w:r w:rsidRPr="00344A83">
        <w:rPr>
          <w:szCs w:val="24"/>
        </w:rPr>
        <w:t xml:space="preserve">, 2007; Sammons-Jackson </w:t>
      </w:r>
      <w:r w:rsidRPr="00344A83">
        <w:rPr>
          <w:i/>
          <w:iCs/>
          <w:szCs w:val="24"/>
        </w:rPr>
        <w:t>et al.</w:t>
      </w:r>
      <w:r w:rsidRPr="00344A83">
        <w:rPr>
          <w:szCs w:val="24"/>
        </w:rPr>
        <w:t xml:space="preserve">, 2008). </w:t>
      </w:r>
      <w:r w:rsidR="007E6921">
        <w:rPr>
          <w:szCs w:val="24"/>
        </w:rPr>
        <w:t xml:space="preserve">PmrA is known as an orphan response regular meaning that it is missing a paired sensor kinase in a typical two component system. </w:t>
      </w:r>
      <w:r w:rsidR="00FA3906">
        <w:rPr>
          <w:szCs w:val="24"/>
        </w:rPr>
        <w:t xml:space="preserve">Two component systems are commonly used in bacteria to regulate gene expression. They typically consist of a sensor kinase that responds to </w:t>
      </w:r>
      <w:r w:rsidR="000E49D5">
        <w:rPr>
          <w:szCs w:val="24"/>
        </w:rPr>
        <w:t>a specified</w:t>
      </w:r>
      <w:r w:rsidR="00FA3906">
        <w:rPr>
          <w:szCs w:val="24"/>
        </w:rPr>
        <w:t xml:space="preserve"> environmental signal and relays that information to the</w:t>
      </w:r>
      <w:r w:rsidR="000E49D5">
        <w:rPr>
          <w:szCs w:val="24"/>
        </w:rPr>
        <w:t xml:space="preserve"> transcription factor known as the</w:t>
      </w:r>
      <w:r w:rsidR="00FA3906">
        <w:rPr>
          <w:szCs w:val="24"/>
        </w:rPr>
        <w:t xml:space="preserve"> response regulator that </w:t>
      </w:r>
      <w:r w:rsidR="000E49D5">
        <w:rPr>
          <w:szCs w:val="24"/>
        </w:rPr>
        <w:t>controls expression of the corresponding gene. PmrA was identified as a response regulator, but no paired sensor kinase has been found</w:t>
      </w:r>
      <w:r w:rsidR="007E5006">
        <w:rPr>
          <w:szCs w:val="24"/>
        </w:rPr>
        <w:t xml:space="preserve"> (</w:t>
      </w:r>
      <w:r w:rsidR="007E5006" w:rsidRPr="00E07925">
        <w:rPr>
          <w:color w:val="303030"/>
          <w:szCs w:val="24"/>
          <w:shd w:val="clear" w:color="auto" w:fill="FFFFFF"/>
        </w:rPr>
        <w:t>van Hoek</w:t>
      </w:r>
      <w:r w:rsidR="007E5006">
        <w:rPr>
          <w:color w:val="303030"/>
          <w:szCs w:val="24"/>
          <w:shd w:val="clear" w:color="auto" w:fill="FFFFFF"/>
        </w:rPr>
        <w:t xml:space="preserve"> </w:t>
      </w:r>
      <w:r w:rsidR="007E5006" w:rsidRPr="007E5006">
        <w:rPr>
          <w:i/>
          <w:iCs/>
          <w:color w:val="303030"/>
          <w:szCs w:val="24"/>
          <w:shd w:val="clear" w:color="auto" w:fill="FFFFFF"/>
        </w:rPr>
        <w:t>et al</w:t>
      </w:r>
      <w:r w:rsidR="007E5006">
        <w:rPr>
          <w:color w:val="303030"/>
          <w:szCs w:val="24"/>
          <w:shd w:val="clear" w:color="auto" w:fill="FFFFFF"/>
        </w:rPr>
        <w:t>., 2019).</w:t>
      </w:r>
      <w:r w:rsidR="000E49D5">
        <w:rPr>
          <w:szCs w:val="24"/>
        </w:rPr>
        <w:t xml:space="preserve"> PmrA is also referred to as QseB in </w:t>
      </w:r>
      <w:r w:rsidR="000E49D5">
        <w:rPr>
          <w:i/>
          <w:iCs/>
          <w:szCs w:val="24"/>
        </w:rPr>
        <w:t>F. novicida</w:t>
      </w:r>
      <w:r w:rsidR="000E49D5">
        <w:rPr>
          <w:szCs w:val="24"/>
        </w:rPr>
        <w:t xml:space="preserve"> and appears to have a role in biofilm formation, which is not seen in </w:t>
      </w:r>
      <w:r w:rsidR="000E49D5">
        <w:rPr>
          <w:i/>
          <w:iCs/>
          <w:szCs w:val="24"/>
        </w:rPr>
        <w:t>F. tularensis</w:t>
      </w:r>
      <w:r w:rsidR="0045759A">
        <w:rPr>
          <w:szCs w:val="24"/>
        </w:rPr>
        <w:t xml:space="preserve"> (</w:t>
      </w:r>
      <w:r w:rsidR="0045759A">
        <w:rPr>
          <w:color w:val="000000"/>
          <w:shd w:val="clear" w:color="auto" w:fill="FFFFFF"/>
        </w:rPr>
        <w:t>Durham-Colleran</w:t>
      </w:r>
      <w:r w:rsidR="000E49D5">
        <w:rPr>
          <w:szCs w:val="24"/>
        </w:rPr>
        <w:t xml:space="preserve"> </w:t>
      </w:r>
      <w:r w:rsidR="0045759A" w:rsidRPr="0045759A">
        <w:rPr>
          <w:i/>
          <w:iCs/>
          <w:szCs w:val="24"/>
        </w:rPr>
        <w:t>et al</w:t>
      </w:r>
      <w:r w:rsidR="0045759A">
        <w:rPr>
          <w:szCs w:val="24"/>
        </w:rPr>
        <w:t>., 2010).</w:t>
      </w:r>
      <w:r w:rsidR="00B37571">
        <w:rPr>
          <w:szCs w:val="24"/>
        </w:rPr>
        <w:t xml:space="preserve"> </w:t>
      </w:r>
      <w:r w:rsidR="006C6D55">
        <w:rPr>
          <w:szCs w:val="24"/>
        </w:rPr>
        <w:t xml:space="preserve"> </w:t>
      </w:r>
    </w:p>
    <w:p w14:paraId="44703841" w14:textId="6D65704D" w:rsidR="00C00016" w:rsidRDefault="000E49D5" w:rsidP="00144348">
      <w:pPr>
        <w:spacing w:before="240" w:line="480" w:lineRule="auto"/>
        <w:ind w:firstLine="720"/>
        <w:rPr>
          <w:szCs w:val="24"/>
        </w:rPr>
      </w:pPr>
      <w:r>
        <w:rPr>
          <w:szCs w:val="24"/>
        </w:rPr>
        <w:t>I</w:t>
      </w:r>
      <w:r w:rsidR="007E6921">
        <w:rPr>
          <w:szCs w:val="24"/>
        </w:rPr>
        <w:t xml:space="preserve">n multiple genetic screens PmrA was identified as an essential virulence factor in </w:t>
      </w:r>
      <w:r w:rsidR="007E6921">
        <w:rPr>
          <w:i/>
          <w:iCs/>
          <w:szCs w:val="24"/>
        </w:rPr>
        <w:t xml:space="preserve">F. tularensis. </w:t>
      </w:r>
      <w:r w:rsidR="0063064F">
        <w:rPr>
          <w:szCs w:val="24"/>
        </w:rPr>
        <w:t xml:space="preserve">PmrA was first investigated in </w:t>
      </w:r>
      <w:r w:rsidR="0063064F">
        <w:rPr>
          <w:i/>
          <w:iCs/>
          <w:szCs w:val="24"/>
        </w:rPr>
        <w:t xml:space="preserve">Francisella </w:t>
      </w:r>
      <w:r w:rsidR="0063064F">
        <w:rPr>
          <w:szCs w:val="24"/>
        </w:rPr>
        <w:t xml:space="preserve">spp. due to its high similarity to the PmrA response regulator found in </w:t>
      </w:r>
      <w:r w:rsidR="0063064F" w:rsidRPr="0063064F">
        <w:rPr>
          <w:i/>
          <w:iCs/>
          <w:szCs w:val="24"/>
        </w:rPr>
        <w:t>Salmonella</w:t>
      </w:r>
      <w:r w:rsidR="00471609">
        <w:rPr>
          <w:szCs w:val="24"/>
        </w:rPr>
        <w:t xml:space="preserve"> (Mohapatra </w:t>
      </w:r>
      <w:r w:rsidR="00471609" w:rsidRPr="00471609">
        <w:rPr>
          <w:i/>
          <w:iCs/>
          <w:szCs w:val="24"/>
        </w:rPr>
        <w:t>et al</w:t>
      </w:r>
      <w:r w:rsidR="00471609">
        <w:rPr>
          <w:szCs w:val="24"/>
        </w:rPr>
        <w:t>., 2007).</w:t>
      </w:r>
      <w:r w:rsidR="0063064F">
        <w:rPr>
          <w:szCs w:val="24"/>
        </w:rPr>
        <w:t xml:space="preserve"> From there d</w:t>
      </w:r>
      <w:r w:rsidR="004B5B03">
        <w:rPr>
          <w:szCs w:val="24"/>
        </w:rPr>
        <w:t>eletion</w:t>
      </w:r>
      <w:r w:rsidR="0063064F">
        <w:rPr>
          <w:szCs w:val="24"/>
        </w:rPr>
        <w:t xml:space="preserve"> mutants in </w:t>
      </w:r>
      <w:r w:rsidR="0063064F">
        <w:rPr>
          <w:i/>
          <w:iCs/>
          <w:szCs w:val="24"/>
        </w:rPr>
        <w:t>pmrA</w:t>
      </w:r>
      <w:r w:rsidR="0063064F">
        <w:rPr>
          <w:szCs w:val="24"/>
        </w:rPr>
        <w:t xml:space="preserve"> were created in </w:t>
      </w:r>
      <w:r w:rsidR="0063064F">
        <w:rPr>
          <w:i/>
          <w:iCs/>
          <w:szCs w:val="24"/>
        </w:rPr>
        <w:t>F. novicid</w:t>
      </w:r>
      <w:r w:rsidR="003365F6">
        <w:rPr>
          <w:i/>
          <w:iCs/>
          <w:szCs w:val="24"/>
        </w:rPr>
        <w:t>a</w:t>
      </w:r>
      <w:r w:rsidR="003365F6">
        <w:rPr>
          <w:szCs w:val="24"/>
        </w:rPr>
        <w:t>. These mutants were tested for changes in virulence in both murine macrophage as well as in mouse models. The d</w:t>
      </w:r>
      <w:r w:rsidR="004B5B03">
        <w:rPr>
          <w:szCs w:val="24"/>
        </w:rPr>
        <w:t>eletion</w:t>
      </w:r>
      <w:r w:rsidR="003365F6">
        <w:rPr>
          <w:szCs w:val="24"/>
        </w:rPr>
        <w:t xml:space="preserve"> mutants in </w:t>
      </w:r>
      <w:r w:rsidR="003365F6">
        <w:rPr>
          <w:i/>
          <w:iCs/>
          <w:szCs w:val="24"/>
        </w:rPr>
        <w:t xml:space="preserve">pmrA </w:t>
      </w:r>
      <w:r w:rsidR="003365F6">
        <w:rPr>
          <w:szCs w:val="24"/>
        </w:rPr>
        <w:t>were found to be attenuated for virulence in both infection models</w:t>
      </w:r>
      <w:r w:rsidR="00471609">
        <w:rPr>
          <w:szCs w:val="24"/>
        </w:rPr>
        <w:t xml:space="preserve"> (Mohapatra </w:t>
      </w:r>
      <w:r w:rsidR="00471609" w:rsidRPr="00471609">
        <w:rPr>
          <w:i/>
          <w:iCs/>
          <w:szCs w:val="24"/>
        </w:rPr>
        <w:t>et al</w:t>
      </w:r>
      <w:r w:rsidR="00471609">
        <w:rPr>
          <w:szCs w:val="24"/>
        </w:rPr>
        <w:t>., 2007).</w:t>
      </w:r>
      <w:r w:rsidR="0063064F">
        <w:rPr>
          <w:szCs w:val="24"/>
        </w:rPr>
        <w:t xml:space="preserve"> </w:t>
      </w:r>
      <w:r w:rsidR="004B5B03">
        <w:rPr>
          <w:szCs w:val="24"/>
        </w:rPr>
        <w:t xml:space="preserve">Microarray analysis was also performed on the </w:t>
      </w:r>
      <w:r w:rsidR="004B5B03" w:rsidRPr="004B5B03">
        <w:rPr>
          <w:i/>
          <w:iCs/>
          <w:szCs w:val="24"/>
        </w:rPr>
        <w:t>ΔpmrA</w:t>
      </w:r>
      <w:r w:rsidR="004B5B03">
        <w:rPr>
          <w:szCs w:val="24"/>
        </w:rPr>
        <w:t xml:space="preserve"> mutant finding that about 60 genes are controlled by PmrA, some of which belonging to the FPI and one hypothetical gene that was up-regulated </w:t>
      </w:r>
      <w:r w:rsidR="00471609">
        <w:rPr>
          <w:szCs w:val="24"/>
        </w:rPr>
        <w:t>16-fold</w:t>
      </w:r>
      <w:r w:rsidR="009401AD">
        <w:rPr>
          <w:szCs w:val="24"/>
        </w:rPr>
        <w:t xml:space="preserve"> in the absence of </w:t>
      </w:r>
      <w:r w:rsidR="009401AD">
        <w:rPr>
          <w:i/>
          <w:iCs/>
          <w:szCs w:val="24"/>
        </w:rPr>
        <w:t>pmrA</w:t>
      </w:r>
      <w:r w:rsidR="00471609">
        <w:rPr>
          <w:szCs w:val="24"/>
        </w:rPr>
        <w:t xml:space="preserve"> (Mohapatra </w:t>
      </w:r>
      <w:r w:rsidR="00471609" w:rsidRPr="00471609">
        <w:rPr>
          <w:i/>
          <w:iCs/>
          <w:szCs w:val="24"/>
        </w:rPr>
        <w:t>et al</w:t>
      </w:r>
      <w:r w:rsidR="00471609">
        <w:rPr>
          <w:szCs w:val="24"/>
        </w:rPr>
        <w:t xml:space="preserve">., 2007). </w:t>
      </w:r>
      <w:r w:rsidR="00B12F0A">
        <w:rPr>
          <w:szCs w:val="24"/>
        </w:rPr>
        <w:t xml:space="preserve">PmrA was also confirmed to be essential for virulence in the LVS strain where deletion mutants were attenuated for virulence in mouse macrophage and in mouse infection models (Sammons-Jackson </w:t>
      </w:r>
      <w:r w:rsidR="00B12F0A" w:rsidRPr="00B12F0A">
        <w:rPr>
          <w:i/>
          <w:iCs/>
          <w:szCs w:val="24"/>
        </w:rPr>
        <w:t>et al</w:t>
      </w:r>
      <w:r w:rsidR="00B12F0A">
        <w:rPr>
          <w:szCs w:val="24"/>
        </w:rPr>
        <w:t xml:space="preserve">., 2008). </w:t>
      </w:r>
      <w:r w:rsidR="00471609">
        <w:rPr>
          <w:szCs w:val="24"/>
        </w:rPr>
        <w:t xml:space="preserve">Additional experiments showed that PmrA coprecipitated with the transcription factors MglA and SspA, </w:t>
      </w:r>
      <w:r w:rsidR="00471609">
        <w:rPr>
          <w:szCs w:val="24"/>
        </w:rPr>
        <w:lastRenderedPageBreak/>
        <w:t xml:space="preserve">suggesting that they may act together in a complex to control FPI gene expression (Bell </w:t>
      </w:r>
      <w:r w:rsidR="00471609" w:rsidRPr="00471609">
        <w:rPr>
          <w:i/>
          <w:iCs/>
          <w:szCs w:val="24"/>
        </w:rPr>
        <w:t>et al</w:t>
      </w:r>
      <w:r w:rsidR="00471609">
        <w:rPr>
          <w:szCs w:val="24"/>
        </w:rPr>
        <w:t>., 2010).</w:t>
      </w:r>
      <w:r w:rsidR="004B5B03">
        <w:rPr>
          <w:szCs w:val="24"/>
        </w:rPr>
        <w:t xml:space="preserve"> </w:t>
      </w:r>
      <w:r w:rsidR="00A00778">
        <w:rPr>
          <w:szCs w:val="24"/>
        </w:rPr>
        <w:t xml:space="preserve">A combination of ChIP-Seq and RNA-Seq experiments showed that of the 252 regions that PmrA associates with it only directly </w:t>
      </w:r>
      <w:r w:rsidR="00001CC4">
        <w:rPr>
          <w:szCs w:val="24"/>
        </w:rPr>
        <w:t>influences</w:t>
      </w:r>
      <w:r w:rsidR="00A00778">
        <w:rPr>
          <w:szCs w:val="24"/>
        </w:rPr>
        <w:t xml:space="preserve"> gene expression of a few genes and mainly is functioning as a repressor</w:t>
      </w:r>
      <w:r w:rsidR="00876BD0">
        <w:rPr>
          <w:szCs w:val="24"/>
        </w:rPr>
        <w:t>, and none of which were located on the FPI</w:t>
      </w:r>
      <w:r w:rsidR="00A00778">
        <w:rPr>
          <w:szCs w:val="24"/>
        </w:rPr>
        <w:t xml:space="preserve"> </w:t>
      </w:r>
      <w:r w:rsidR="00A00778" w:rsidRPr="00344A83">
        <w:rPr>
          <w:szCs w:val="24"/>
        </w:rPr>
        <w:t>(Ramsey &amp; Dove, 2016).</w:t>
      </w:r>
      <w:r w:rsidR="00001CC4">
        <w:rPr>
          <w:szCs w:val="24"/>
        </w:rPr>
        <w:t xml:space="preserve"> PmrA was found to have the largest effect on </w:t>
      </w:r>
      <w:r w:rsidR="00876BD0">
        <w:rPr>
          <w:szCs w:val="24"/>
        </w:rPr>
        <w:t xml:space="preserve">a hypothetical protein, which was given the name PriM. </w:t>
      </w:r>
      <w:r w:rsidR="00344A83" w:rsidRPr="0063064F">
        <w:rPr>
          <w:szCs w:val="24"/>
        </w:rPr>
        <w:t>The</w:t>
      </w:r>
      <w:r w:rsidR="00344A83" w:rsidRPr="00344A83">
        <w:rPr>
          <w:szCs w:val="24"/>
        </w:rPr>
        <w:t xml:space="preserve"> primary function of PmrA </w:t>
      </w:r>
      <w:r w:rsidR="00876BD0">
        <w:rPr>
          <w:szCs w:val="24"/>
        </w:rPr>
        <w:t xml:space="preserve">was found to be </w:t>
      </w:r>
      <w:r w:rsidR="00344A83" w:rsidRPr="00344A83">
        <w:rPr>
          <w:szCs w:val="24"/>
        </w:rPr>
        <w:t>repress</w:t>
      </w:r>
      <w:r w:rsidR="00876BD0">
        <w:rPr>
          <w:szCs w:val="24"/>
        </w:rPr>
        <w:t>ing</w:t>
      </w:r>
      <w:r w:rsidR="00344A83" w:rsidRPr="00344A83">
        <w:rPr>
          <w:szCs w:val="24"/>
        </w:rPr>
        <w:t xml:space="preserve"> expression of </w:t>
      </w:r>
      <w:r w:rsidR="00876BD0">
        <w:rPr>
          <w:szCs w:val="24"/>
        </w:rPr>
        <w:t>the</w:t>
      </w:r>
      <w:r w:rsidR="00344A83" w:rsidRPr="00344A83">
        <w:rPr>
          <w:szCs w:val="24"/>
        </w:rPr>
        <w:t xml:space="preserve"> novel anti-virulence factor PriM (Ramsey &amp; Dove, 2016). </w:t>
      </w:r>
    </w:p>
    <w:p w14:paraId="67923E98" w14:textId="7BC28A9A" w:rsidR="00144A69" w:rsidRPr="00144A69" w:rsidRDefault="00144A69" w:rsidP="00144A69">
      <w:pPr>
        <w:spacing w:before="240" w:line="480" w:lineRule="auto"/>
        <w:rPr>
          <w:b/>
          <w:bCs/>
          <w:szCs w:val="24"/>
        </w:rPr>
      </w:pPr>
      <w:r>
        <w:rPr>
          <w:b/>
          <w:bCs/>
          <w:szCs w:val="24"/>
        </w:rPr>
        <w:t xml:space="preserve">Anti-Virulence Factors </w:t>
      </w:r>
    </w:p>
    <w:p w14:paraId="32D1BE95" w14:textId="5829ADC8" w:rsidR="00144A69" w:rsidRDefault="00144A69" w:rsidP="00144A69">
      <w:pPr>
        <w:spacing w:before="240" w:line="480" w:lineRule="auto"/>
        <w:ind w:firstLine="720"/>
        <w:rPr>
          <w:szCs w:val="24"/>
        </w:rPr>
      </w:pPr>
      <w:r w:rsidRPr="00044C4A">
        <w:rPr>
          <w:szCs w:val="24"/>
        </w:rPr>
        <w:t xml:space="preserve">While many studies investigate virulence factors, it is also important to consider anti-virulence factors to fully understand bacterial pathogenesis (Brown </w:t>
      </w:r>
      <w:r w:rsidRPr="00044C4A">
        <w:rPr>
          <w:i/>
          <w:iCs/>
          <w:szCs w:val="24"/>
        </w:rPr>
        <w:t>et al.</w:t>
      </w:r>
      <w:r w:rsidRPr="00044C4A">
        <w:rPr>
          <w:szCs w:val="24"/>
        </w:rPr>
        <w:t xml:space="preserve">, 2016). </w:t>
      </w:r>
      <w:r w:rsidR="00740A51">
        <w:rPr>
          <w:szCs w:val="24"/>
        </w:rPr>
        <w:t xml:space="preserve">An anti-virulence factor is gene/protein that decreases the virulence of the pathogen. </w:t>
      </w:r>
      <w:r w:rsidR="00FC2D26">
        <w:rPr>
          <w:szCs w:val="24"/>
        </w:rPr>
        <w:t xml:space="preserve">Anti-virulence factors have been discovered in at least 17 bacterial species. </w:t>
      </w:r>
      <w:r w:rsidRPr="00344A83">
        <w:rPr>
          <w:szCs w:val="24"/>
        </w:rPr>
        <w:t xml:space="preserve">Other pathogens encode anti-virulence factors, but the role of anti-virulence factors in pathogenesis is still incompletely understood (Brown </w:t>
      </w:r>
      <w:r w:rsidRPr="00344A83">
        <w:rPr>
          <w:i/>
          <w:iCs/>
          <w:szCs w:val="24"/>
        </w:rPr>
        <w:t>et al.</w:t>
      </w:r>
      <w:r w:rsidRPr="00344A83">
        <w:rPr>
          <w:szCs w:val="24"/>
        </w:rPr>
        <w:t xml:space="preserve">, 2016). </w:t>
      </w:r>
      <w:r w:rsidRPr="00044C4A">
        <w:rPr>
          <w:szCs w:val="24"/>
        </w:rPr>
        <w:t xml:space="preserve">Anti-virulence factors can play a key role in pathogenesis of some species. Some anti-virulence factors have been found to regulate production or release of virulence factors in the context of infection (Yeom </w:t>
      </w:r>
      <w:r w:rsidRPr="00044C4A">
        <w:rPr>
          <w:i/>
          <w:iCs/>
          <w:szCs w:val="24"/>
        </w:rPr>
        <w:t>et al.</w:t>
      </w:r>
      <w:r w:rsidRPr="00044C4A">
        <w:rPr>
          <w:szCs w:val="24"/>
        </w:rPr>
        <w:t>, 2018).</w:t>
      </w:r>
      <w:r w:rsidR="00AA3C7C">
        <w:rPr>
          <w:szCs w:val="24"/>
        </w:rPr>
        <w:t xml:space="preserve"> One example in </w:t>
      </w:r>
      <w:r w:rsidR="00AA3C7C">
        <w:rPr>
          <w:i/>
          <w:iCs/>
          <w:szCs w:val="24"/>
        </w:rPr>
        <w:t>Salmonella enterica</w:t>
      </w:r>
      <w:r w:rsidR="00AA3C7C">
        <w:rPr>
          <w:szCs w:val="24"/>
        </w:rPr>
        <w:t xml:space="preserve"> is an anti-virulence factor called CigR that functions by binding to a regulatory protein called MgtC, which when active induces cellular changes that increase antibiotic tolerance</w:t>
      </w:r>
      <w:r w:rsidR="00281211">
        <w:rPr>
          <w:szCs w:val="24"/>
        </w:rPr>
        <w:t xml:space="preserve"> </w:t>
      </w:r>
      <w:r w:rsidR="00281211" w:rsidRPr="00044C4A">
        <w:rPr>
          <w:szCs w:val="24"/>
        </w:rPr>
        <w:t xml:space="preserve">(Yeom </w:t>
      </w:r>
      <w:r w:rsidR="00281211" w:rsidRPr="00044C4A">
        <w:rPr>
          <w:i/>
          <w:iCs/>
          <w:szCs w:val="24"/>
        </w:rPr>
        <w:t>et al.</w:t>
      </w:r>
      <w:r w:rsidR="00281211" w:rsidRPr="00044C4A">
        <w:rPr>
          <w:szCs w:val="24"/>
        </w:rPr>
        <w:t>, 2018).</w:t>
      </w:r>
      <w:r w:rsidR="00281211">
        <w:rPr>
          <w:szCs w:val="24"/>
        </w:rPr>
        <w:t xml:space="preserve"> </w:t>
      </w:r>
      <w:r>
        <w:rPr>
          <w:szCs w:val="24"/>
        </w:rPr>
        <w:t xml:space="preserve">Other anti-virulence factors have been discovered in </w:t>
      </w:r>
      <w:r>
        <w:rPr>
          <w:rStyle w:val="Emphasis"/>
          <w:color w:val="000000"/>
          <w:shd w:val="clear" w:color="auto" w:fill="FFFFFF"/>
        </w:rPr>
        <w:t xml:space="preserve">Mycobacterium tuberculosis </w:t>
      </w:r>
      <w:r>
        <w:rPr>
          <w:rStyle w:val="Emphasis"/>
          <w:i w:val="0"/>
          <w:iCs w:val="0"/>
          <w:color w:val="000000"/>
          <w:shd w:val="clear" w:color="auto" w:fill="FFFFFF"/>
        </w:rPr>
        <w:t>and</w:t>
      </w:r>
      <w:r>
        <w:rPr>
          <w:szCs w:val="24"/>
        </w:rPr>
        <w:t xml:space="preserve"> </w:t>
      </w:r>
      <w:r>
        <w:rPr>
          <w:rStyle w:val="Emphasis"/>
          <w:color w:val="000000"/>
          <w:shd w:val="clear" w:color="auto" w:fill="FFFFFF"/>
        </w:rPr>
        <w:t>Xylella fastidiosa</w:t>
      </w:r>
      <w:r>
        <w:rPr>
          <w:rStyle w:val="Emphasis"/>
          <w:i w:val="0"/>
          <w:iCs w:val="0"/>
          <w:color w:val="000000"/>
          <w:shd w:val="clear" w:color="auto" w:fill="FFFFFF"/>
        </w:rPr>
        <w:t xml:space="preserve">, pathogens that rely on establishing a latent infection (Ionescu </w:t>
      </w:r>
      <w:r>
        <w:rPr>
          <w:rStyle w:val="Emphasis"/>
          <w:color w:val="000000"/>
          <w:shd w:val="clear" w:color="auto" w:fill="FFFFFF"/>
        </w:rPr>
        <w:t>et al</w:t>
      </w:r>
      <w:r>
        <w:rPr>
          <w:rStyle w:val="Emphasis"/>
          <w:i w:val="0"/>
          <w:iCs w:val="0"/>
          <w:color w:val="000000"/>
          <w:shd w:val="clear" w:color="auto" w:fill="FFFFFF"/>
        </w:rPr>
        <w:t xml:space="preserve">., 2013) (Shimono </w:t>
      </w:r>
      <w:r>
        <w:rPr>
          <w:rStyle w:val="Emphasis"/>
          <w:color w:val="000000"/>
          <w:shd w:val="clear" w:color="auto" w:fill="FFFFFF"/>
        </w:rPr>
        <w:t>et al</w:t>
      </w:r>
      <w:r>
        <w:rPr>
          <w:rStyle w:val="Emphasis"/>
          <w:i w:val="0"/>
          <w:iCs w:val="0"/>
          <w:color w:val="000000"/>
          <w:shd w:val="clear" w:color="auto" w:fill="FFFFFF"/>
        </w:rPr>
        <w:t>., 2003). Anti-virulence factors have been discovered in both of these species that make the organism hypervirulent, which prevents the latent infection from forming and in some cases prevents transmission to a new host.</w:t>
      </w:r>
    </w:p>
    <w:p w14:paraId="1A0796FE" w14:textId="18C6FFEA" w:rsidR="00C00016" w:rsidRPr="00C00016" w:rsidRDefault="00C00016" w:rsidP="00C00016">
      <w:pPr>
        <w:spacing w:before="240" w:line="480" w:lineRule="auto"/>
        <w:rPr>
          <w:b/>
          <w:bCs/>
          <w:szCs w:val="24"/>
        </w:rPr>
      </w:pPr>
      <w:r>
        <w:rPr>
          <w:b/>
          <w:bCs/>
          <w:szCs w:val="24"/>
        </w:rPr>
        <w:lastRenderedPageBreak/>
        <w:t xml:space="preserve">PriM functions as an anti-virulence factor </w:t>
      </w:r>
    </w:p>
    <w:p w14:paraId="37A486C4" w14:textId="714C3FE3" w:rsidR="0058540E" w:rsidRDefault="00C00016" w:rsidP="00C00016">
      <w:pPr>
        <w:spacing w:before="240" w:line="480" w:lineRule="auto"/>
        <w:ind w:firstLine="720"/>
        <w:rPr>
          <w:szCs w:val="24"/>
        </w:rPr>
      </w:pPr>
      <w:r>
        <w:rPr>
          <w:szCs w:val="24"/>
        </w:rPr>
        <w:t xml:space="preserve">When </w:t>
      </w:r>
      <w:r w:rsidRPr="00C00016">
        <w:rPr>
          <w:i/>
          <w:iCs/>
          <w:szCs w:val="24"/>
        </w:rPr>
        <w:t>F. tularensis</w:t>
      </w:r>
      <w:r>
        <w:rPr>
          <w:szCs w:val="24"/>
        </w:rPr>
        <w:t xml:space="preserve"> is lacking the transcription factor </w:t>
      </w:r>
      <w:r>
        <w:rPr>
          <w:i/>
          <w:iCs/>
          <w:szCs w:val="24"/>
        </w:rPr>
        <w:t>pmrA</w:t>
      </w:r>
      <w:r>
        <w:rPr>
          <w:szCs w:val="24"/>
        </w:rPr>
        <w:t>, these cells are no longer able to replicate inside macrophage due to the presence of PriM</w:t>
      </w:r>
      <w:r w:rsidR="00B80A64">
        <w:rPr>
          <w:szCs w:val="24"/>
        </w:rPr>
        <w:t>, which is no longer being repressed.</w:t>
      </w:r>
      <w:r>
        <w:rPr>
          <w:i/>
          <w:iCs/>
          <w:szCs w:val="24"/>
        </w:rPr>
        <w:t xml:space="preserve"> </w:t>
      </w:r>
      <w:r w:rsidR="00344A83" w:rsidRPr="00344A83">
        <w:rPr>
          <w:szCs w:val="24"/>
        </w:rPr>
        <w:t>The anti-virulence factor PriM does not have clear sequence or structural homology to other studied proteins and how PriM functions to prevent intramacrophage replication is unknown.</w:t>
      </w:r>
      <w:r w:rsidR="00144348" w:rsidRPr="00144348">
        <w:rPr>
          <w:szCs w:val="24"/>
        </w:rPr>
        <w:t xml:space="preserve"> </w:t>
      </w:r>
      <w:r w:rsidR="00144348" w:rsidRPr="00044C4A">
        <w:rPr>
          <w:szCs w:val="24"/>
        </w:rPr>
        <w:t xml:space="preserve">PriM is the first anti-virulence factor identified in </w:t>
      </w:r>
      <w:r w:rsidR="00144348" w:rsidRPr="00044C4A">
        <w:rPr>
          <w:i/>
          <w:iCs/>
          <w:szCs w:val="24"/>
        </w:rPr>
        <w:t>F. tularensis</w:t>
      </w:r>
      <w:r w:rsidR="00144348" w:rsidRPr="00044C4A">
        <w:rPr>
          <w:szCs w:val="24"/>
        </w:rPr>
        <w:t xml:space="preserve"> and our collaborators have solved a structure of PriM using X-ray crystallography (Figure </w:t>
      </w:r>
      <w:r w:rsidR="0058540E">
        <w:rPr>
          <w:szCs w:val="24"/>
        </w:rPr>
        <w:t>1</w:t>
      </w:r>
      <w:r w:rsidR="00144348" w:rsidRPr="00044C4A">
        <w:rPr>
          <w:szCs w:val="24"/>
        </w:rPr>
        <w:t>).</w:t>
      </w:r>
    </w:p>
    <w:p w14:paraId="5F975B6D" w14:textId="4C9B3D63" w:rsidR="0058540E" w:rsidRDefault="0058540E" w:rsidP="00144348">
      <w:pPr>
        <w:spacing w:before="240" w:line="480" w:lineRule="auto"/>
        <w:ind w:firstLine="720"/>
        <w:rPr>
          <w:szCs w:val="24"/>
        </w:rPr>
      </w:pPr>
      <w:r w:rsidRPr="00044C4A">
        <w:rPr>
          <w:noProof/>
          <w:szCs w:val="24"/>
        </w:rPr>
        <w:drawing>
          <wp:inline distT="0" distB="0" distL="0" distR="0" wp14:anchorId="7A8EE22B" wp14:editId="4F1A7B08">
            <wp:extent cx="4415999" cy="3284806"/>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4446789" cy="3307709"/>
                    </a:xfrm>
                    <a:prstGeom prst="rect">
                      <a:avLst/>
                    </a:prstGeom>
                  </pic:spPr>
                </pic:pic>
              </a:graphicData>
            </a:graphic>
          </wp:inline>
        </w:drawing>
      </w:r>
    </w:p>
    <w:p w14:paraId="1416B84C" w14:textId="402542B6" w:rsidR="0058540E" w:rsidRPr="00044C4A" w:rsidRDefault="0058540E" w:rsidP="0058540E">
      <w:pPr>
        <w:rPr>
          <w:szCs w:val="24"/>
        </w:rPr>
      </w:pPr>
      <w:r w:rsidRPr="00044C4A">
        <w:rPr>
          <w:szCs w:val="24"/>
        </w:rPr>
        <w:t xml:space="preserve">Figure </w:t>
      </w:r>
      <w:r>
        <w:rPr>
          <w:szCs w:val="24"/>
        </w:rPr>
        <w:t>1</w:t>
      </w:r>
      <w:r w:rsidRPr="00044C4A">
        <w:rPr>
          <w:szCs w:val="24"/>
        </w:rPr>
        <w:t>.</w:t>
      </w:r>
    </w:p>
    <w:p w14:paraId="46A90A82" w14:textId="77777777" w:rsidR="0058540E" w:rsidRPr="00044C4A" w:rsidRDefault="0058540E" w:rsidP="0058540E">
      <w:pPr>
        <w:rPr>
          <w:szCs w:val="24"/>
        </w:rPr>
      </w:pPr>
      <w:r w:rsidRPr="00044C4A">
        <w:rPr>
          <w:szCs w:val="24"/>
        </w:rPr>
        <w:t>Representation of the crystal structure of the PriM protein. This structure has been described as a novel fold and highlights several key features. (Unpublished data, Dr. Maria Schumacher, Duke University Department of Biochemistry)</w:t>
      </w:r>
    </w:p>
    <w:p w14:paraId="0DF9138E" w14:textId="7D02FB73" w:rsidR="0058540E" w:rsidRDefault="0058540E" w:rsidP="0058540E">
      <w:pPr>
        <w:spacing w:before="240" w:line="480" w:lineRule="auto"/>
        <w:ind w:firstLine="720"/>
        <w:rPr>
          <w:szCs w:val="24"/>
        </w:rPr>
      </w:pPr>
    </w:p>
    <w:p w14:paraId="767566EE" w14:textId="77777777" w:rsidR="00313B92" w:rsidRDefault="00313B92" w:rsidP="0058540E">
      <w:pPr>
        <w:spacing w:before="240" w:line="480" w:lineRule="auto"/>
        <w:ind w:firstLine="720"/>
        <w:rPr>
          <w:szCs w:val="24"/>
        </w:rPr>
      </w:pPr>
    </w:p>
    <w:p w14:paraId="1BD2490B" w14:textId="4FC68550" w:rsidR="00341235" w:rsidRPr="00341235" w:rsidRDefault="00341235" w:rsidP="00341235">
      <w:pPr>
        <w:spacing w:before="240" w:line="480" w:lineRule="auto"/>
        <w:rPr>
          <w:b/>
          <w:bCs/>
          <w:szCs w:val="24"/>
        </w:rPr>
      </w:pPr>
      <w:r>
        <w:rPr>
          <w:b/>
          <w:bCs/>
          <w:szCs w:val="24"/>
        </w:rPr>
        <w:lastRenderedPageBreak/>
        <w:t xml:space="preserve">Structure of PriM </w:t>
      </w:r>
      <w:r w:rsidR="00371D47">
        <w:rPr>
          <w:b/>
          <w:bCs/>
          <w:szCs w:val="24"/>
        </w:rPr>
        <w:t xml:space="preserve">may </w:t>
      </w:r>
      <w:r>
        <w:rPr>
          <w:b/>
          <w:bCs/>
          <w:szCs w:val="24"/>
        </w:rPr>
        <w:t>provide insight into function</w:t>
      </w:r>
    </w:p>
    <w:p w14:paraId="66786930" w14:textId="3D688E30" w:rsidR="0065437E" w:rsidRDefault="0001139F" w:rsidP="00B31C10">
      <w:pPr>
        <w:spacing w:before="240" w:line="480" w:lineRule="auto"/>
        <w:ind w:firstLine="720"/>
        <w:rPr>
          <w:szCs w:val="24"/>
        </w:rPr>
      </w:pPr>
      <w:r>
        <w:rPr>
          <w:szCs w:val="24"/>
        </w:rPr>
        <w:t xml:space="preserve"> </w:t>
      </w:r>
      <w:r w:rsidR="00144348" w:rsidRPr="00044C4A">
        <w:rPr>
          <w:szCs w:val="24"/>
        </w:rPr>
        <w:t>The structural model of PriM reveals a novel fold with no known structural homology currently found in the Protein Data Bank. A PriM monomer is approximately 116 angstroms in length with a long coil-coil domain and flexible, electropositive tip. Additional features include a disulfide bond between two cysteines and bound acetate, which co-crystallized with PriM. The bound acetate may indicate the presence of a binding pocket.</w:t>
      </w:r>
      <w:r w:rsidR="00CC48CC">
        <w:rPr>
          <w:szCs w:val="24"/>
        </w:rPr>
        <w:t xml:space="preserve"> </w:t>
      </w:r>
      <w:r w:rsidR="00672A45">
        <w:rPr>
          <w:szCs w:val="24"/>
        </w:rPr>
        <w:t xml:space="preserve">Not shown in the provided structure is a canonical N-terminal secretion signal that can be identified using protein secretion signal prediction software.  </w:t>
      </w:r>
    </w:p>
    <w:p w14:paraId="0C79628F" w14:textId="5537E814" w:rsidR="00CC48CC" w:rsidRDefault="00CC48CC" w:rsidP="00B31C10">
      <w:pPr>
        <w:spacing w:before="240" w:line="480" w:lineRule="auto"/>
        <w:ind w:firstLine="720"/>
        <w:rPr>
          <w:color w:val="303030"/>
          <w:szCs w:val="24"/>
          <w:shd w:val="clear" w:color="auto" w:fill="FFFFFF"/>
        </w:rPr>
      </w:pPr>
      <w:r>
        <w:rPr>
          <w:szCs w:val="24"/>
        </w:rPr>
        <w:t xml:space="preserve">PriM has been identified in other studies as well. PriM was identified as the most abundant protein associated with outer-membrane vesicles in </w:t>
      </w:r>
      <w:r>
        <w:rPr>
          <w:i/>
          <w:iCs/>
          <w:szCs w:val="24"/>
        </w:rPr>
        <w:t>F. novicida</w:t>
      </w:r>
      <w:r>
        <w:rPr>
          <w:szCs w:val="24"/>
        </w:rPr>
        <w:t>, though the significance of this is not yet understood</w:t>
      </w:r>
      <w:r w:rsidR="00B367E7">
        <w:rPr>
          <w:szCs w:val="24"/>
        </w:rPr>
        <w:t xml:space="preserve"> (McCaig </w:t>
      </w:r>
      <w:r w:rsidR="00B367E7" w:rsidRPr="00B367E7">
        <w:rPr>
          <w:i/>
          <w:iCs/>
          <w:szCs w:val="24"/>
        </w:rPr>
        <w:t>et al</w:t>
      </w:r>
      <w:r w:rsidR="00B367E7">
        <w:rPr>
          <w:szCs w:val="24"/>
        </w:rPr>
        <w:t>., 2013).</w:t>
      </w:r>
      <w:r w:rsidR="00F67B9F">
        <w:rPr>
          <w:szCs w:val="24"/>
        </w:rPr>
        <w:t xml:space="preserve"> Another study in </w:t>
      </w:r>
      <w:r w:rsidR="00F67B9F">
        <w:rPr>
          <w:i/>
          <w:iCs/>
          <w:szCs w:val="24"/>
        </w:rPr>
        <w:t xml:space="preserve">F. novicida </w:t>
      </w:r>
      <w:r w:rsidR="00F67B9F">
        <w:rPr>
          <w:szCs w:val="24"/>
        </w:rPr>
        <w:t xml:space="preserve">suggested that PriM was one of 95 proteins that were detected in a secretome analysis, suggesting that PriM may be secreted in </w:t>
      </w:r>
      <w:r w:rsidR="00F67B9F">
        <w:rPr>
          <w:i/>
          <w:iCs/>
          <w:szCs w:val="24"/>
        </w:rPr>
        <w:t>F. novicida</w:t>
      </w:r>
      <w:r w:rsidR="0055108D">
        <w:rPr>
          <w:szCs w:val="24"/>
        </w:rPr>
        <w:t xml:space="preserve"> (</w:t>
      </w:r>
      <w:r w:rsidR="0055108D" w:rsidRPr="00AE7CF7">
        <w:rPr>
          <w:color w:val="303030"/>
          <w:szCs w:val="24"/>
          <w:shd w:val="clear" w:color="auto" w:fill="FFFFFF"/>
        </w:rPr>
        <w:t>Eshraghi</w:t>
      </w:r>
      <w:r w:rsidR="0055108D">
        <w:rPr>
          <w:color w:val="303030"/>
          <w:szCs w:val="24"/>
          <w:shd w:val="clear" w:color="auto" w:fill="FFFFFF"/>
        </w:rPr>
        <w:t xml:space="preserve"> </w:t>
      </w:r>
      <w:r w:rsidR="0055108D" w:rsidRPr="0055108D">
        <w:rPr>
          <w:i/>
          <w:iCs/>
          <w:color w:val="303030"/>
          <w:szCs w:val="24"/>
          <w:shd w:val="clear" w:color="auto" w:fill="FFFFFF"/>
        </w:rPr>
        <w:t>et al</w:t>
      </w:r>
      <w:r w:rsidR="0055108D">
        <w:rPr>
          <w:color w:val="303030"/>
          <w:szCs w:val="24"/>
          <w:shd w:val="clear" w:color="auto" w:fill="FFFFFF"/>
        </w:rPr>
        <w:t>., 2016).</w:t>
      </w:r>
      <w:r w:rsidR="00F67B9F">
        <w:rPr>
          <w:szCs w:val="24"/>
        </w:rPr>
        <w:t xml:space="preserve"> </w:t>
      </w:r>
      <w:r>
        <w:rPr>
          <w:szCs w:val="24"/>
        </w:rPr>
        <w:t xml:space="preserve"> PriM was also identified as </w:t>
      </w:r>
      <w:r w:rsidR="00D4470D">
        <w:rPr>
          <w:szCs w:val="24"/>
        </w:rPr>
        <w:t xml:space="preserve">being one of 31 </w:t>
      </w:r>
      <w:r>
        <w:rPr>
          <w:szCs w:val="24"/>
        </w:rPr>
        <w:t>protein</w:t>
      </w:r>
      <w:r w:rsidR="00D4470D">
        <w:rPr>
          <w:szCs w:val="24"/>
        </w:rPr>
        <w:t>s that coimmunoprecipitated with</w:t>
      </w:r>
      <w:r>
        <w:rPr>
          <w:szCs w:val="24"/>
        </w:rPr>
        <w:t xml:space="preserve"> MoxR in </w:t>
      </w:r>
      <w:r>
        <w:rPr>
          <w:i/>
          <w:iCs/>
          <w:szCs w:val="24"/>
        </w:rPr>
        <w:t xml:space="preserve">F. tularensis </w:t>
      </w:r>
      <w:r>
        <w:rPr>
          <w:szCs w:val="24"/>
        </w:rPr>
        <w:t>LVS</w:t>
      </w:r>
      <w:r w:rsidR="00A5025F">
        <w:rPr>
          <w:szCs w:val="24"/>
        </w:rPr>
        <w:t>, which is a protein that is important for stress response and intramacrophage survival</w:t>
      </w:r>
      <w:r w:rsidR="00D4470D">
        <w:rPr>
          <w:szCs w:val="24"/>
        </w:rPr>
        <w:t xml:space="preserve"> </w:t>
      </w:r>
      <w:r w:rsidR="006F0F9D">
        <w:rPr>
          <w:szCs w:val="24"/>
        </w:rPr>
        <w:t>(</w:t>
      </w:r>
      <w:r w:rsidR="006F0F9D" w:rsidRPr="00D37855">
        <w:rPr>
          <w:color w:val="303030"/>
          <w:szCs w:val="24"/>
          <w:shd w:val="clear" w:color="auto" w:fill="FFFFFF"/>
        </w:rPr>
        <w:t>Dieppedale</w:t>
      </w:r>
      <w:r w:rsidR="006F0F9D">
        <w:rPr>
          <w:color w:val="303030"/>
          <w:szCs w:val="24"/>
          <w:shd w:val="clear" w:color="auto" w:fill="FFFFFF"/>
        </w:rPr>
        <w:t xml:space="preserve"> </w:t>
      </w:r>
      <w:r w:rsidR="006F0F9D" w:rsidRPr="006F0F9D">
        <w:rPr>
          <w:i/>
          <w:iCs/>
          <w:color w:val="303030"/>
          <w:szCs w:val="24"/>
          <w:shd w:val="clear" w:color="auto" w:fill="FFFFFF"/>
        </w:rPr>
        <w:t>et al</w:t>
      </w:r>
      <w:r w:rsidR="006F0F9D">
        <w:rPr>
          <w:color w:val="303030"/>
          <w:szCs w:val="24"/>
          <w:shd w:val="clear" w:color="auto" w:fill="FFFFFF"/>
        </w:rPr>
        <w:t>., 2013).</w:t>
      </w:r>
      <w:r w:rsidR="00860B3E">
        <w:rPr>
          <w:color w:val="303030"/>
          <w:szCs w:val="24"/>
          <w:shd w:val="clear" w:color="auto" w:fill="FFFFFF"/>
        </w:rPr>
        <w:t xml:space="preserve"> </w:t>
      </w:r>
      <w:r w:rsidR="00D4470D">
        <w:rPr>
          <w:color w:val="303030"/>
          <w:szCs w:val="24"/>
          <w:shd w:val="clear" w:color="auto" w:fill="FFFFFF"/>
        </w:rPr>
        <w:t xml:space="preserve">This specific interaction has not yet been validated MoxR is not predicted to be secreted, while PriM </w:t>
      </w:r>
      <w:r w:rsidR="00922C55">
        <w:rPr>
          <w:color w:val="303030"/>
          <w:szCs w:val="24"/>
          <w:shd w:val="clear" w:color="auto" w:fill="FFFFFF"/>
        </w:rPr>
        <w:t xml:space="preserve">is predicted to at least make it into the periplasm. </w:t>
      </w:r>
    </w:p>
    <w:p w14:paraId="160155C8" w14:textId="164DC625" w:rsidR="0065437E" w:rsidRPr="0065437E" w:rsidRDefault="0065437E" w:rsidP="0065437E">
      <w:pPr>
        <w:spacing w:before="240" w:line="480" w:lineRule="auto"/>
        <w:rPr>
          <w:b/>
          <w:bCs/>
          <w:szCs w:val="24"/>
        </w:rPr>
      </w:pPr>
      <w:bookmarkStart w:id="1" w:name="_GoBack"/>
      <w:bookmarkEnd w:id="1"/>
      <w:r>
        <w:rPr>
          <w:b/>
          <w:bCs/>
          <w:szCs w:val="24"/>
        </w:rPr>
        <w:t xml:space="preserve">Aims of Study </w:t>
      </w:r>
    </w:p>
    <w:p w14:paraId="5239F2F5" w14:textId="75ECBC51" w:rsidR="00B31C10" w:rsidRDefault="00144348" w:rsidP="00B31C10">
      <w:pPr>
        <w:spacing w:before="240" w:line="480" w:lineRule="auto"/>
        <w:ind w:firstLine="720"/>
        <w:rPr>
          <w:szCs w:val="24"/>
        </w:rPr>
      </w:pPr>
      <w:r w:rsidRPr="00044C4A">
        <w:rPr>
          <w:szCs w:val="24"/>
        </w:rPr>
        <w:t xml:space="preserve"> To examine which of these features are key to the function of PriM as an anti-virulence factor, we engineer</w:t>
      </w:r>
      <w:r w:rsidR="00095862">
        <w:rPr>
          <w:szCs w:val="24"/>
        </w:rPr>
        <w:t>ed</w:t>
      </w:r>
      <w:r w:rsidRPr="00044C4A">
        <w:rPr>
          <w:szCs w:val="24"/>
        </w:rPr>
        <w:t xml:space="preserve"> mutations targeting these features. These mutations, presented in Table 1, w</w:t>
      </w:r>
      <w:r w:rsidR="00095862">
        <w:rPr>
          <w:szCs w:val="24"/>
        </w:rPr>
        <w:t>ere</w:t>
      </w:r>
      <w:r w:rsidRPr="00044C4A">
        <w:rPr>
          <w:szCs w:val="24"/>
        </w:rPr>
        <w:t xml:space="preserve"> constructed in both wild-type LVS cells and cells lacking the repressor </w:t>
      </w:r>
      <w:r w:rsidRPr="00044C4A">
        <w:rPr>
          <w:i/>
          <w:iCs/>
          <w:szCs w:val="24"/>
        </w:rPr>
        <w:t xml:space="preserve">pmrA </w:t>
      </w:r>
      <w:r w:rsidRPr="00044C4A">
        <w:rPr>
          <w:szCs w:val="24"/>
        </w:rPr>
        <w:t xml:space="preserve">(i.e., cells producing PriM) and then evaluated in a macrophage infection assay. Cells expressing PriM </w:t>
      </w:r>
      <w:r w:rsidRPr="00044C4A">
        <w:rPr>
          <w:szCs w:val="24"/>
        </w:rPr>
        <w:lastRenderedPageBreak/>
        <w:t>mutant proteins that are able to replicate in macrophage will contain a mutation in a region of PriM that is essential for its function as an anti-virulence factor.</w:t>
      </w:r>
      <w:r>
        <w:rPr>
          <w:szCs w:val="24"/>
        </w:rPr>
        <w:t xml:space="preserve"> </w:t>
      </w:r>
    </w:p>
    <w:p w14:paraId="16D15F25" w14:textId="77777777" w:rsidR="00B31C10" w:rsidRDefault="00095862" w:rsidP="00B31C10">
      <w:pPr>
        <w:spacing w:before="240" w:line="480" w:lineRule="auto"/>
        <w:ind w:firstLine="720"/>
        <w:rPr>
          <w:szCs w:val="24"/>
        </w:rPr>
      </w:pPr>
      <w:r>
        <w:rPr>
          <w:szCs w:val="24"/>
        </w:rPr>
        <w:t xml:space="preserve">The structural targeted mutations were created based on three structural features; the electropositive tip region, the disulfide bond, and the potential small molecule binding pocket. The electropositive tip region may seem important for interacting with negatively charged DNA, however previous studies have shown no interactions between </w:t>
      </w:r>
      <w:r w:rsidR="00E44992">
        <w:rPr>
          <w:szCs w:val="24"/>
        </w:rPr>
        <w:t>PriM and DNA</w:t>
      </w:r>
      <w:r w:rsidR="006472CB">
        <w:rPr>
          <w:szCs w:val="24"/>
        </w:rPr>
        <w:t xml:space="preserve"> </w:t>
      </w:r>
      <w:r w:rsidR="006472CB" w:rsidRPr="00344A83">
        <w:rPr>
          <w:szCs w:val="24"/>
        </w:rPr>
        <w:t>(Ramsey &amp; Dove, 2016).</w:t>
      </w:r>
      <w:r w:rsidR="006472CB">
        <w:rPr>
          <w:szCs w:val="24"/>
        </w:rPr>
        <w:t xml:space="preserve"> </w:t>
      </w:r>
      <w:r w:rsidR="00E44992">
        <w:rPr>
          <w:szCs w:val="24"/>
        </w:rPr>
        <w:t xml:space="preserve">Instead, the tip region may be involved in transport, or protein-protein interactions that may contribute to anti-virulence. Many virulence factors are known to require disulfide bond formation for full maturation including </w:t>
      </w:r>
      <w:r w:rsidR="00DE64EB">
        <w:rPr>
          <w:szCs w:val="24"/>
        </w:rPr>
        <w:t xml:space="preserve">components of the Type VI section system in </w:t>
      </w:r>
      <w:r w:rsidR="00DE64EB">
        <w:rPr>
          <w:i/>
          <w:iCs/>
          <w:szCs w:val="24"/>
        </w:rPr>
        <w:t>F. tularensis</w:t>
      </w:r>
      <w:r w:rsidR="009D5E43">
        <w:rPr>
          <w:szCs w:val="24"/>
        </w:rPr>
        <w:t>, which is essential for virulence</w:t>
      </w:r>
      <w:r w:rsidR="003C2C52">
        <w:rPr>
          <w:szCs w:val="24"/>
        </w:rPr>
        <w:t xml:space="preserve"> (Qin </w:t>
      </w:r>
      <w:r w:rsidR="003C2C52" w:rsidRPr="003C2C52">
        <w:rPr>
          <w:i/>
          <w:iCs/>
          <w:szCs w:val="24"/>
        </w:rPr>
        <w:t>et al</w:t>
      </w:r>
      <w:r w:rsidR="003C2C52">
        <w:rPr>
          <w:szCs w:val="24"/>
        </w:rPr>
        <w:t>., 2016)</w:t>
      </w:r>
      <w:r w:rsidR="009D5E43">
        <w:rPr>
          <w:szCs w:val="24"/>
        </w:rPr>
        <w:t xml:space="preserve">. When PriM is active, it is produced at very high levels with each individual molecule requiring formation of a disulfide bond. </w:t>
      </w:r>
      <w:r w:rsidR="00BD73F1">
        <w:rPr>
          <w:szCs w:val="24"/>
        </w:rPr>
        <w:t xml:space="preserve">By targeting the disulfide bond in PriM we can explore the possibility that the high levels of PriM are titrating away the ability of disulfide bonds to be formed in other critical virulence factors. The small molecule binding pocket is also being targeted </w:t>
      </w:r>
      <w:r w:rsidR="003C2C52">
        <w:rPr>
          <w:szCs w:val="24"/>
        </w:rPr>
        <w:t>because there are a number of possible small molecules or protein-protein interactions that could have an effect on virulence.</w:t>
      </w:r>
    </w:p>
    <w:p w14:paraId="6AD626FB" w14:textId="4D5A2885" w:rsidR="00144348" w:rsidRPr="00B31C10" w:rsidRDefault="00144348" w:rsidP="00B31C10">
      <w:pPr>
        <w:spacing w:before="240" w:line="480" w:lineRule="auto"/>
        <w:ind w:firstLine="720"/>
        <w:rPr>
          <w:szCs w:val="24"/>
        </w:rPr>
      </w:pPr>
      <w:r w:rsidRPr="00344A83">
        <w:t xml:space="preserve">To elucidate the molecular mechanism by which PriM inhibits intramacrophage growth, we </w:t>
      </w:r>
      <w:r>
        <w:t>have</w:t>
      </w:r>
      <w:r w:rsidRPr="00344A83">
        <w:t xml:space="preserve"> take</w:t>
      </w:r>
      <w:r>
        <w:t>n</w:t>
      </w:r>
      <w:r w:rsidRPr="00344A83">
        <w:t xml:space="preserve"> several approaches. By creating targeted mutations guided by the structure of PriM, we </w:t>
      </w:r>
      <w:r>
        <w:t>have</w:t>
      </w:r>
      <w:r w:rsidRPr="00344A83">
        <w:t xml:space="preserve"> assess</w:t>
      </w:r>
      <w:r>
        <w:t>ed</w:t>
      </w:r>
      <w:r w:rsidRPr="00344A83">
        <w:t xml:space="preserve"> how specific structural features contribute to intramacrophage replication. We </w:t>
      </w:r>
      <w:r>
        <w:t>have</w:t>
      </w:r>
      <w:r w:rsidRPr="00344A83">
        <w:t xml:space="preserve"> also identif</w:t>
      </w:r>
      <w:r>
        <w:t>ied</w:t>
      </w:r>
      <w:r w:rsidRPr="00344A83">
        <w:t xml:space="preserve"> genes that are critical for the function of PriM by </w:t>
      </w:r>
      <w:r>
        <w:t>exploring genetic mutations.</w:t>
      </w:r>
      <w:r w:rsidRPr="00344A83">
        <w:t xml:space="preserve"> By increasing our understanding of bacterially-encoded anti-virulence pathways, we may be able to identify novel targets for anti-microbial therapeutics.</w:t>
      </w:r>
    </w:p>
    <w:p w14:paraId="79F3C32A" w14:textId="179322C3" w:rsidR="00344A83" w:rsidRDefault="00344A83" w:rsidP="00344A83">
      <w:pPr>
        <w:pStyle w:val="Default"/>
      </w:pPr>
    </w:p>
    <w:sectPr w:rsidR="00344A83">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95ECEB" w16cex:dateUtc="2020-06-18T17:38:00Z"/>
  <w16cex:commentExtensible w16cex:durableId="2295EF10" w16cex:dateUtc="2020-06-18T17:48:00Z"/>
  <w16cex:commentExtensible w16cex:durableId="2295EF30" w16cex:dateUtc="2020-06-18T17:48:00Z"/>
  <w16cex:commentExtensible w16cex:durableId="2295F01F" w16cex:dateUtc="2020-06-18T17:52:00Z"/>
  <w16cex:commentExtensible w16cex:durableId="2295F0C6" w16cex:dateUtc="2020-06-18T17:55:00Z"/>
  <w16cex:commentExtensible w16cex:durableId="2295F195" w16cex:dateUtc="2020-06-18T17:58:00Z"/>
  <w16cex:commentExtensible w16cex:durableId="22960597" w16cex:dateUtc="2020-06-18T19:24:00Z"/>
</w16cex:commentsExtensibl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D5214"/>
    <w:multiLevelType w:val="hybridMultilevel"/>
    <w:tmpl w:val="FC087E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4A83"/>
    <w:rsid w:val="00001CC4"/>
    <w:rsid w:val="0001139F"/>
    <w:rsid w:val="00050380"/>
    <w:rsid w:val="000716E9"/>
    <w:rsid w:val="00081C19"/>
    <w:rsid w:val="00095862"/>
    <w:rsid w:val="000E49D5"/>
    <w:rsid w:val="00117D14"/>
    <w:rsid w:val="0012399A"/>
    <w:rsid w:val="00140C61"/>
    <w:rsid w:val="00144348"/>
    <w:rsid w:val="00144A69"/>
    <w:rsid w:val="00145A37"/>
    <w:rsid w:val="001B4990"/>
    <w:rsid w:val="002105F9"/>
    <w:rsid w:val="002259A9"/>
    <w:rsid w:val="002661E2"/>
    <w:rsid w:val="00281211"/>
    <w:rsid w:val="002B0E21"/>
    <w:rsid w:val="002C392A"/>
    <w:rsid w:val="002D5976"/>
    <w:rsid w:val="00313B92"/>
    <w:rsid w:val="003365F6"/>
    <w:rsid w:val="00341235"/>
    <w:rsid w:val="00344A83"/>
    <w:rsid w:val="00371D47"/>
    <w:rsid w:val="003A0826"/>
    <w:rsid w:val="003B4361"/>
    <w:rsid w:val="003C2C52"/>
    <w:rsid w:val="003C5E4B"/>
    <w:rsid w:val="00436C41"/>
    <w:rsid w:val="0045759A"/>
    <w:rsid w:val="00471609"/>
    <w:rsid w:val="004B5B03"/>
    <w:rsid w:val="004D752A"/>
    <w:rsid w:val="00526B9D"/>
    <w:rsid w:val="00527B14"/>
    <w:rsid w:val="005348A0"/>
    <w:rsid w:val="00540E1F"/>
    <w:rsid w:val="0055108D"/>
    <w:rsid w:val="0058540E"/>
    <w:rsid w:val="00586036"/>
    <w:rsid w:val="005A455E"/>
    <w:rsid w:val="00626B68"/>
    <w:rsid w:val="0063064F"/>
    <w:rsid w:val="006472CB"/>
    <w:rsid w:val="0065437E"/>
    <w:rsid w:val="00672A45"/>
    <w:rsid w:val="00674E10"/>
    <w:rsid w:val="00692421"/>
    <w:rsid w:val="006929F3"/>
    <w:rsid w:val="006B1823"/>
    <w:rsid w:val="006C6D55"/>
    <w:rsid w:val="006D55FB"/>
    <w:rsid w:val="006D5E2B"/>
    <w:rsid w:val="006F0F9D"/>
    <w:rsid w:val="00740A51"/>
    <w:rsid w:val="00797DE4"/>
    <w:rsid w:val="007A779B"/>
    <w:rsid w:val="007B20ED"/>
    <w:rsid w:val="007B43EB"/>
    <w:rsid w:val="007D0030"/>
    <w:rsid w:val="007E5006"/>
    <w:rsid w:val="007E6921"/>
    <w:rsid w:val="00816830"/>
    <w:rsid w:val="00834D90"/>
    <w:rsid w:val="00835320"/>
    <w:rsid w:val="0084377C"/>
    <w:rsid w:val="00847CAB"/>
    <w:rsid w:val="00853213"/>
    <w:rsid w:val="00860B3E"/>
    <w:rsid w:val="00876BD0"/>
    <w:rsid w:val="008B3DB4"/>
    <w:rsid w:val="0090400C"/>
    <w:rsid w:val="00922C55"/>
    <w:rsid w:val="009401AD"/>
    <w:rsid w:val="009C75D9"/>
    <w:rsid w:val="009D5E43"/>
    <w:rsid w:val="009E1BD8"/>
    <w:rsid w:val="00A00778"/>
    <w:rsid w:val="00A16B3C"/>
    <w:rsid w:val="00A4428F"/>
    <w:rsid w:val="00A45D19"/>
    <w:rsid w:val="00A5025F"/>
    <w:rsid w:val="00A531BD"/>
    <w:rsid w:val="00A741EC"/>
    <w:rsid w:val="00AA3C7C"/>
    <w:rsid w:val="00AC2C01"/>
    <w:rsid w:val="00AC56C3"/>
    <w:rsid w:val="00B12F0A"/>
    <w:rsid w:val="00B31C10"/>
    <w:rsid w:val="00B367E7"/>
    <w:rsid w:val="00B37571"/>
    <w:rsid w:val="00B60599"/>
    <w:rsid w:val="00B80A64"/>
    <w:rsid w:val="00B97F3D"/>
    <w:rsid w:val="00BD6D34"/>
    <w:rsid w:val="00BD73F1"/>
    <w:rsid w:val="00C00016"/>
    <w:rsid w:val="00C3386E"/>
    <w:rsid w:val="00C34BA2"/>
    <w:rsid w:val="00C50437"/>
    <w:rsid w:val="00CC1116"/>
    <w:rsid w:val="00CC48CC"/>
    <w:rsid w:val="00D23F96"/>
    <w:rsid w:val="00D4470D"/>
    <w:rsid w:val="00D97F3C"/>
    <w:rsid w:val="00DC5059"/>
    <w:rsid w:val="00DE64EB"/>
    <w:rsid w:val="00DF7223"/>
    <w:rsid w:val="00E0459E"/>
    <w:rsid w:val="00E44992"/>
    <w:rsid w:val="00E830CB"/>
    <w:rsid w:val="00F03032"/>
    <w:rsid w:val="00F67B9F"/>
    <w:rsid w:val="00FA3906"/>
    <w:rsid w:val="00FA6423"/>
    <w:rsid w:val="00FC2D26"/>
    <w:rsid w:val="00FE69E3"/>
    <w:rsid w:val="00FF37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B8ED75"/>
  <w15:chartTrackingRefBased/>
  <w15:docId w15:val="{3F70E396-7405-40A5-B62A-6F48512B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44A83"/>
    <w:pPr>
      <w:suppressAutoHyphens/>
      <w:spacing w:after="0" w:line="240" w:lineRule="auto"/>
    </w:pPr>
    <w:rPr>
      <w:rFonts w:ascii="Times New Roman" w:eastAsia="Times New Roman" w:hAnsi="Times New Roman" w:cs="Times New Roman"/>
      <w:sz w:val="24"/>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344A83"/>
    <w:pPr>
      <w:autoSpaceDE w:val="0"/>
      <w:autoSpaceDN w:val="0"/>
      <w:adjustRightInd w:val="0"/>
      <w:spacing w:after="0" w:line="240" w:lineRule="auto"/>
    </w:pPr>
    <w:rPr>
      <w:rFonts w:ascii="Calibri" w:hAnsi="Calibri" w:cs="Calibri"/>
      <w:color w:val="000000"/>
      <w:sz w:val="24"/>
      <w:szCs w:val="24"/>
    </w:rPr>
  </w:style>
  <w:style w:type="paragraph" w:styleId="Title">
    <w:name w:val="Title"/>
    <w:basedOn w:val="Normal"/>
    <w:next w:val="Subtitle"/>
    <w:link w:val="TitleChar"/>
    <w:qFormat/>
    <w:rsid w:val="00344A83"/>
    <w:pPr>
      <w:widowControl w:val="0"/>
      <w:overflowPunct w:val="0"/>
      <w:autoSpaceDE w:val="0"/>
      <w:jc w:val="center"/>
    </w:pPr>
    <w:rPr>
      <w:kern w:val="1"/>
      <w:szCs w:val="24"/>
    </w:rPr>
  </w:style>
  <w:style w:type="character" w:customStyle="1" w:styleId="TitleChar">
    <w:name w:val="Title Char"/>
    <w:basedOn w:val="DefaultParagraphFont"/>
    <w:link w:val="Title"/>
    <w:rsid w:val="00344A83"/>
    <w:rPr>
      <w:rFonts w:ascii="Times New Roman" w:eastAsia="Times New Roman" w:hAnsi="Times New Roman" w:cs="Times New Roman"/>
      <w:kern w:val="1"/>
      <w:sz w:val="24"/>
      <w:szCs w:val="24"/>
      <w:lang w:eastAsia="ar-SA"/>
    </w:rPr>
  </w:style>
  <w:style w:type="paragraph" w:styleId="Subtitle">
    <w:name w:val="Subtitle"/>
    <w:basedOn w:val="Normal"/>
    <w:next w:val="Normal"/>
    <w:link w:val="SubtitleChar"/>
    <w:uiPriority w:val="11"/>
    <w:qFormat/>
    <w:rsid w:val="00344A8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44A83"/>
    <w:rPr>
      <w:rFonts w:eastAsiaTheme="minorEastAsia"/>
      <w:color w:val="5A5A5A" w:themeColor="text1" w:themeTint="A5"/>
      <w:spacing w:val="15"/>
      <w:lang w:eastAsia="ar-SA"/>
    </w:rPr>
  </w:style>
  <w:style w:type="character" w:styleId="Emphasis">
    <w:name w:val="Emphasis"/>
    <w:basedOn w:val="DefaultParagraphFont"/>
    <w:uiPriority w:val="20"/>
    <w:qFormat/>
    <w:rsid w:val="00081C19"/>
    <w:rPr>
      <w:i/>
      <w:iCs/>
    </w:rPr>
  </w:style>
  <w:style w:type="paragraph" w:styleId="BalloonText">
    <w:name w:val="Balloon Text"/>
    <w:basedOn w:val="Normal"/>
    <w:link w:val="BalloonTextChar"/>
    <w:uiPriority w:val="99"/>
    <w:semiHidden/>
    <w:unhideWhenUsed/>
    <w:rsid w:val="00050380"/>
    <w:rPr>
      <w:sz w:val="18"/>
      <w:szCs w:val="18"/>
    </w:rPr>
  </w:style>
  <w:style w:type="character" w:customStyle="1" w:styleId="BalloonTextChar">
    <w:name w:val="Balloon Text Char"/>
    <w:basedOn w:val="DefaultParagraphFont"/>
    <w:link w:val="BalloonText"/>
    <w:uiPriority w:val="99"/>
    <w:semiHidden/>
    <w:rsid w:val="00050380"/>
    <w:rPr>
      <w:rFonts w:ascii="Times New Roman" w:eastAsia="Times New Roman" w:hAnsi="Times New Roman" w:cs="Times New Roman"/>
      <w:sz w:val="18"/>
      <w:szCs w:val="18"/>
      <w:lang w:eastAsia="ar-SA"/>
    </w:rPr>
  </w:style>
  <w:style w:type="character" w:styleId="CommentReference">
    <w:name w:val="annotation reference"/>
    <w:basedOn w:val="DefaultParagraphFont"/>
    <w:uiPriority w:val="99"/>
    <w:semiHidden/>
    <w:unhideWhenUsed/>
    <w:rsid w:val="00050380"/>
    <w:rPr>
      <w:sz w:val="16"/>
      <w:szCs w:val="16"/>
    </w:rPr>
  </w:style>
  <w:style w:type="paragraph" w:styleId="CommentText">
    <w:name w:val="annotation text"/>
    <w:basedOn w:val="Normal"/>
    <w:link w:val="CommentTextChar"/>
    <w:uiPriority w:val="99"/>
    <w:semiHidden/>
    <w:unhideWhenUsed/>
    <w:rsid w:val="00050380"/>
    <w:rPr>
      <w:sz w:val="20"/>
    </w:rPr>
  </w:style>
  <w:style w:type="character" w:customStyle="1" w:styleId="CommentTextChar">
    <w:name w:val="Comment Text Char"/>
    <w:basedOn w:val="DefaultParagraphFont"/>
    <w:link w:val="CommentText"/>
    <w:uiPriority w:val="99"/>
    <w:semiHidden/>
    <w:rsid w:val="00050380"/>
    <w:rPr>
      <w:rFonts w:ascii="Times New Roman" w:eastAsia="Times New Roman" w:hAnsi="Times New Roman" w:cs="Times New Roman"/>
      <w:sz w:val="20"/>
      <w:szCs w:val="20"/>
      <w:lang w:eastAsia="ar-SA"/>
    </w:rPr>
  </w:style>
  <w:style w:type="paragraph" w:styleId="CommentSubject">
    <w:name w:val="annotation subject"/>
    <w:basedOn w:val="CommentText"/>
    <w:next w:val="CommentText"/>
    <w:link w:val="CommentSubjectChar"/>
    <w:uiPriority w:val="99"/>
    <w:semiHidden/>
    <w:unhideWhenUsed/>
    <w:rsid w:val="00050380"/>
    <w:rPr>
      <w:b/>
      <w:bCs/>
    </w:rPr>
  </w:style>
  <w:style w:type="character" w:customStyle="1" w:styleId="CommentSubjectChar">
    <w:name w:val="Comment Subject Char"/>
    <w:basedOn w:val="CommentTextChar"/>
    <w:link w:val="CommentSubject"/>
    <w:uiPriority w:val="99"/>
    <w:semiHidden/>
    <w:rsid w:val="00050380"/>
    <w:rPr>
      <w:rFonts w:ascii="Times New Roman" w:eastAsia="Times New Roman" w:hAnsi="Times New Roman" w:cs="Times New Roman"/>
      <w:b/>
      <w:bCs/>
      <w:sz w:val="20"/>
      <w:szCs w:val="20"/>
      <w:lang w:eastAsia="ar-SA"/>
    </w:rPr>
  </w:style>
  <w:style w:type="paragraph" w:styleId="ListParagraph">
    <w:name w:val="List Paragraph"/>
    <w:basedOn w:val="Normal"/>
    <w:uiPriority w:val="34"/>
    <w:qFormat/>
    <w:rsid w:val="008B3DB4"/>
    <w:pPr>
      <w:suppressAutoHyphens w:val="0"/>
      <w:spacing w:after="160" w:line="259" w:lineRule="auto"/>
      <w:ind w:left="720"/>
      <w:contextualSpacing/>
    </w:pPr>
    <w:rPr>
      <w:rFonts w:asciiTheme="minorHAnsi" w:eastAsiaTheme="minorHAnsi" w:hAnsiTheme="minorHAnsi" w:cstheme="minorBidi"/>
      <w:sz w:val="22"/>
      <w:szCs w:val="22"/>
      <w:lang w:eastAsia="en-US"/>
    </w:rPr>
  </w:style>
  <w:style w:type="character" w:styleId="PlaceholderText">
    <w:name w:val="Placeholder Text"/>
    <w:basedOn w:val="DefaultParagraphFont"/>
    <w:uiPriority w:val="99"/>
    <w:semiHidden/>
    <w:rsid w:val="004B5B0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12"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250</TotalTime>
  <Pages>9</Pages>
  <Words>2415</Words>
  <Characters>13768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Jamie</dc:creator>
  <cp:keywords/>
  <dc:description/>
  <cp:lastModifiedBy>Jamie Wandzilak</cp:lastModifiedBy>
  <cp:revision>23</cp:revision>
  <dcterms:created xsi:type="dcterms:W3CDTF">2020-06-21T22:24:00Z</dcterms:created>
  <dcterms:modified xsi:type="dcterms:W3CDTF">2020-06-22T17:01:00Z</dcterms:modified>
</cp:coreProperties>
</file>